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360" w:hanging="0"/>
        <w:jc w:val="center"/>
        <w:rPr>
          <w:b/>
          <w:b/>
          <w:sz w:val="28"/>
          <w:szCs w:val="28"/>
        </w:rPr>
      </w:pPr>
      <w:r>
        <w:rPr>
          <w:b/>
          <w:sz w:val="28"/>
          <w:szCs w:val="28"/>
        </w:rPr>
        <w:t>Образователна система на Република Гърция</w:t>
      </w:r>
    </w:p>
    <w:p>
      <w:pPr>
        <w:pStyle w:val="Normal"/>
        <w:ind w:left="360" w:hanging="0"/>
        <w:rPr>
          <w:b/>
          <w:b/>
          <w:sz w:val="28"/>
          <w:szCs w:val="28"/>
          <w:u w:val="single"/>
        </w:rPr>
      </w:pPr>
      <w:r>
        <w:rPr>
          <w:b/>
          <w:sz w:val="28"/>
          <w:szCs w:val="28"/>
          <w:u w:val="single"/>
        </w:rPr>
      </w:r>
    </w:p>
    <w:p>
      <w:pPr>
        <w:pStyle w:val="Normal"/>
        <w:ind w:left="360" w:hanging="0"/>
        <w:rPr>
          <w:b/>
          <w:b/>
          <w:sz w:val="28"/>
          <w:szCs w:val="28"/>
          <w:u w:val="single"/>
        </w:rPr>
      </w:pPr>
      <w:r>
        <w:rPr>
          <w:b/>
          <w:sz w:val="28"/>
          <w:szCs w:val="28"/>
          <w:u w:val="single"/>
        </w:rPr>
      </w:r>
    </w:p>
    <w:p>
      <w:pPr>
        <w:pStyle w:val="Normal"/>
        <w:ind w:left="357" w:firstLine="709"/>
        <w:jc w:val="both"/>
        <w:rPr/>
      </w:pPr>
      <w:r>
        <w:rPr/>
        <w:t>Предучилищното образование в Гърция не е задължително. То е безплатно за всички деца, които посещават предучилищната степен, предлага се обикновено в градовете и включва около 50% от децата между 2 и половина и 5 и половина годишна възраст. Има и много частни детски градини.</w:t>
      </w:r>
    </w:p>
    <w:p>
      <w:pPr>
        <w:pStyle w:val="Normal"/>
        <w:ind w:left="357" w:firstLine="709"/>
        <w:jc w:val="both"/>
        <w:rPr/>
      </w:pPr>
      <w:r>
        <w:rPr/>
        <w:t>Предучилищното образование има неофициален характер. Ударението в него се поставя върху способностите за адаптиране в обществото, върху морала и религиозния мироглед. Заниманията в детските градини започват около средата на септември и завършват около средата на юни. Всички учители тук са жени.</w:t>
      </w:r>
    </w:p>
    <w:p>
      <w:pPr>
        <w:pStyle w:val="Normal"/>
        <w:ind w:left="357" w:firstLine="709"/>
        <w:jc w:val="both"/>
        <w:rPr/>
      </w:pPr>
      <w:r>
        <w:rPr/>
        <w:t>Началното образование е задължително и безплатно. Децата започват училище на 5 и половина години и продължават да посещават училище докъм дванадесетата си година. Училищата се класифицират според големината на учителския състав. Повечето начални училища в Гърция са монотесия или ексатесия. Монотесия са училища с 1 учител и 1 класна стая за всички класове. Ексатесия имат по 1 учител за всеки клас, който учи в собствена класна стая. Броят на учениците, посещаващи монотесия и ексатесия, варира съответно от 15-30 до 420-450.</w:t>
      </w:r>
    </w:p>
    <w:p>
      <w:pPr>
        <w:pStyle w:val="Normal"/>
        <w:ind w:left="357" w:firstLine="709"/>
        <w:jc w:val="both"/>
        <w:rPr/>
      </w:pPr>
      <w:r>
        <w:rPr/>
        <w:t>Обучението в началното училище трае 6 години. Програмата е еднаква за всички ученици и определена от Министерството на образованието и религийте. Предметите и материалът също се определят от министерството. Учебната година е от 15 септември до 10 юни. След завършването учениците получават свидетелство и имат право да се запишат в първата степен на средното образование – тригодишна гимназия.</w:t>
      </w:r>
    </w:p>
    <w:p>
      <w:pPr>
        <w:pStyle w:val="Normal"/>
        <w:ind w:left="357" w:firstLine="709"/>
        <w:jc w:val="both"/>
        <w:rPr/>
      </w:pPr>
      <w:r>
        <w:rPr/>
        <w:t xml:space="preserve">Средно образование се получава в гимназии и лицеи. Гимназията обхваща </w:t>
      </w:r>
      <w:r>
        <w:rPr>
          <w:lang w:val="en-US"/>
        </w:rPr>
        <w:t>VII</w:t>
      </w:r>
      <w:r>
        <w:rPr>
          <w:lang w:val="ru-RU"/>
        </w:rPr>
        <w:t>,</w:t>
      </w:r>
      <w:r>
        <w:rPr>
          <w:lang w:val="en-US"/>
        </w:rPr>
        <w:t>VIII</w:t>
      </w:r>
      <w:r>
        <w:rPr/>
        <w:t xml:space="preserve"> и</w:t>
      </w:r>
      <w:r>
        <w:rPr>
          <w:lang w:val="ru-RU"/>
        </w:rPr>
        <w:t xml:space="preserve"> </w:t>
      </w:r>
      <w:r>
        <w:rPr>
          <w:lang w:val="en-US"/>
        </w:rPr>
        <w:t>IX</w:t>
      </w:r>
      <w:r>
        <w:rPr/>
        <w:t xml:space="preserve"> клас, а лицеят – X,</w:t>
      </w:r>
      <w:r>
        <w:rPr>
          <w:lang w:val="en-US"/>
        </w:rPr>
        <w:t>XI</w:t>
      </w:r>
      <w:r>
        <w:rPr>
          <w:lang w:val="ru-RU"/>
        </w:rPr>
        <w:t xml:space="preserve"> </w:t>
      </w:r>
      <w:r>
        <w:rPr/>
        <w:t>и</w:t>
      </w:r>
      <w:r>
        <w:rPr>
          <w:lang w:val="ru-RU"/>
        </w:rPr>
        <w:t xml:space="preserve"> </w:t>
      </w:r>
      <w:r>
        <w:rPr>
          <w:lang w:val="en-US"/>
        </w:rPr>
        <w:t>XII</w:t>
      </w:r>
      <w:r>
        <w:rPr/>
        <w:t xml:space="preserve"> клас и е втората, по-висша степен. Гимназията е задължителна в Гърция за всички ученици между единадесет и половина и четиринадесет и половина години. Лицеят е по избор за учениците от четиринадесет и половина до седемнадесет и половина годишна възраст. За да се запишат в лицеите, учениците държат приемен изпит след завършване на гимназия. Лицеите са общообразователни, професионални и технически. Неуспешно положилите приемния изпит могат да запишат двегодишно (X и XI клас) средно професионално или техническо училище без изпит. Ученическият състав в тези училища в повечето случай обаче се формира от отпадналите от лицеите или от завършилите общообразователни лицеи, които не са били приети да следват висше образование. Завършилите двегодишното училище могат да се запишат без изпит в професионален и технически лицей.</w:t>
      </w:r>
    </w:p>
    <w:p>
      <w:pPr>
        <w:pStyle w:val="Normal"/>
        <w:ind w:left="357" w:firstLine="709"/>
        <w:jc w:val="both"/>
        <w:rPr/>
      </w:pPr>
      <w:r>
        <w:rPr/>
        <w:t>В Гърция има около 1092 дневни и 30 вечерни държавни и частни гимназии и около 863 дневни и 58 вечерни държавни и частни лицеи. Освен тях има 8 класически лицея ( с ударение върху хуманитаристиката – старогръцки език, новогръцки език и литература, история, чужди езици). Има четири лицея за търговския флот. Там, освен предметите на общообразователните лицеи, се изучават дисциплини, свързани с търговията, флота и навигацията. Има 15 образцови училища, които включват  гимназия и лицеи. Те са прикрепени към някой университет и в тях студентите практикуват. Учебната година започва в третата седмица на септември и завършва през последната седмица на юни. Учениците се дипломират със свидетелство за зрелост.</w:t>
      </w:r>
    </w:p>
    <w:p>
      <w:pPr>
        <w:pStyle w:val="Normal"/>
        <w:ind w:left="357" w:firstLine="709"/>
        <w:jc w:val="both"/>
        <w:rPr/>
      </w:pPr>
      <w:r>
        <w:rPr/>
        <w:t>Завършилите лицей или средно училище с подобно ниво могат да постъпят във висше училище, университет или училище, което отговаря на нашите полувисши институти. Сега в Гърция има 8 държавни университета, 6 образователни института с ранг на университет и повече от 23 висши училища за преподавателски кадри по различни дисциплини. Религиозно образование се дава в 2 църковни училища и 2 педагогически академии на православната църква. Гърция разполага с 24 центъра за висше техническо и професионално образование с програми за специализация в 36 области. Ако са частни или църковни, техните програми отново се определят от държавата. Има също училища, свързани с обучение по изкуствата, медицина, обществени науки, и 15 училища за търговския флот. Освен това има 11 висши военни училища за флота, авиацията, полицията, сухопътните войски и др.</w:t>
      </w:r>
    </w:p>
    <w:p>
      <w:pPr>
        <w:pStyle w:val="Normal"/>
        <w:ind w:left="357" w:firstLine="709"/>
        <w:jc w:val="both"/>
        <w:rPr/>
      </w:pPr>
      <w:r>
        <w:rPr/>
        <w:t>Курсът на обучение във висшето образование е от 2 до 6 години, в зависимост от програмата и степента, която завършващият получава. Във висшите училища се кандидатства. Студентите се приемат на основата на бал, образуван от средната сума на оценките по всички предмети от втората и третата година на общообразователния лицей или образцовото училище и от оценките, получени от учениците на общогръцките изпити след края на втората и третата година на общообразователния лицей или образцовото училище, умножени по коефициент, в зависимост от дела на специалните предмети, изучавани в училищата, в които се кандидатства.</w:t>
      </w:r>
    </w:p>
    <w:p>
      <w:pPr>
        <w:pStyle w:val="Normal"/>
        <w:ind w:left="357" w:firstLine="709"/>
        <w:jc w:val="both"/>
        <w:rPr/>
      </w:pPr>
      <w:r>
        <w:rPr/>
        <w:t>Със закон от 2001 г. висшето образование в Гърция се разделя на Университетско образование осъществявано в местните Университети и Висше Технологично образование – осъществявано в институти. Мисията на университетите е да осигурят академична подготовка на високо ниво. В различните градове  на  Гърция са разположени 20 университета, разделени от своя страна на факултети и департаменти.</w:t>
      </w:r>
    </w:p>
    <w:p>
      <w:pPr>
        <w:pStyle w:val="Normal"/>
        <w:ind w:left="357" w:firstLine="709"/>
        <w:jc w:val="both"/>
        <w:rPr/>
      </w:pPr>
      <w:r>
        <w:rPr/>
        <w:t>Ролята на Технологичните институти е да допринасят за развитието в областта на научния прогрес и приложните изследвания. Предлаганите специалности са с практична насоченост.</w:t>
      </w:r>
    </w:p>
    <w:p>
      <w:pPr>
        <w:pStyle w:val="Normal"/>
        <w:ind w:left="357" w:firstLine="709"/>
        <w:jc w:val="both"/>
        <w:rPr/>
      </w:pPr>
      <w:r>
        <w:rPr/>
        <w:t>Университетските специалности са с продължителност на обучението от 4 години, с изключение на някой специалности с продължителност 5 или дори 6 години.</w:t>
      </w:r>
    </w:p>
    <w:p>
      <w:pPr>
        <w:pStyle w:val="Normal"/>
        <w:ind w:left="357" w:firstLine="709"/>
        <w:jc w:val="both"/>
        <w:rPr/>
      </w:pPr>
      <w:r>
        <w:rPr/>
        <w:t>Академичната година се състои от 2 семестъра всеки от които завършва с изпитна сесия. В Университетите се предлагат учебни програми в следните области:</w:t>
      </w:r>
    </w:p>
    <w:p>
      <w:pPr>
        <w:pStyle w:val="Normal"/>
        <w:ind w:left="357" w:firstLine="709"/>
        <w:jc w:val="both"/>
        <w:rPr/>
      </w:pPr>
      <w:r>
        <w:rPr/>
        <w:t>Право, хуманитарни науки, точни науки, здравеопазване, икономика и мениджмънт.</w:t>
      </w:r>
    </w:p>
    <w:p>
      <w:pPr>
        <w:pStyle w:val="Normal"/>
        <w:ind w:left="357" w:firstLine="709"/>
        <w:jc w:val="both"/>
        <w:rPr/>
      </w:pPr>
      <w:r>
        <w:rPr/>
        <w:t>Обучението в Техническите институти е с продължителност 8 семестъра и завършва с теоретични и практически изпити. Предлагат се 81 специалности в следните области: Графично и приложно изкуство, музикални технологии, мениджмънт и икономика, здравеопазване, приложни технологии, хранене и хранителна промишленост, селско стопанство.</w:t>
      </w:r>
    </w:p>
    <w:p>
      <w:pPr>
        <w:pStyle w:val="Normal"/>
        <w:ind w:left="357" w:firstLine="709"/>
        <w:jc w:val="both"/>
        <w:rPr/>
      </w:pPr>
      <w:r>
        <w:rPr/>
        <w:t>Освен признатите от държавата висши училища има и такива, които са учредени в чужбина, но не са легитимни в Гърция. Техните дипломи не се признават в Гърция, защото Конституцията забранява учредяването и функционирането на частни университети. Кадрите им обаче се търсят в частния сектор на икономиката(промишленост, бизнес и услуги). Водещи за хуманитарното образование в Гърция са Атинският и Солунският университет, за техническото образование – Националната Мецовска политехника в Атина, а за стопански науки – Висшият институт по промишленост в Пирея.</w:t>
      </w:r>
    </w:p>
    <w:p>
      <w:pPr>
        <w:pStyle w:val="Normal"/>
        <w:ind w:left="357" w:firstLine="709"/>
        <w:jc w:val="both"/>
        <w:rPr/>
      </w:pPr>
      <w:r>
        <w:rPr/>
        <w:t>Консервативната система във висшето образование е обект на много дискусии в гръцкото общество и в нея се очакват промени, които бавно си прокарват път. Това са реформи в учебните програми, в методиката на преподаване и приема на студенти. Висшето образование все повече се обвързва с изискванията на Европейската общност. За обучението на студентите се използват съвременни технически средства, оборудвани лаборатории, има богати университетски библиотеки. Висшите училища поддържат тясна връзка с гръцките изследователски институти, с множество европейски и американски научноизследователски центрове, чиито представителства се намират в столицата Атина и в други градове.</w:t>
      </w:r>
    </w:p>
    <w:p>
      <w:pPr>
        <w:pStyle w:val="Normal"/>
        <w:ind w:left="357" w:firstLine="709"/>
        <w:jc w:val="both"/>
        <w:rPr/>
      </w:pPr>
      <w:r>
        <w:rPr/>
      </w:r>
    </w:p>
    <w:p>
      <w:pPr>
        <w:pStyle w:val="Normal"/>
        <w:ind w:left="357" w:firstLine="709"/>
        <w:jc w:val="both"/>
        <w:rPr/>
      </w:pPr>
      <w:r>
        <w:rPr/>
      </w:r>
    </w:p>
    <w:p>
      <w:pPr>
        <w:pStyle w:val="Normal"/>
        <w:ind w:left="357" w:firstLine="709"/>
        <w:jc w:val="both"/>
        <w:rPr/>
      </w:pPr>
      <w:r>
        <w:rPr/>
      </w:r>
    </w:p>
    <w:p>
      <w:pPr>
        <w:pStyle w:val="Normal"/>
        <w:ind w:left="357" w:firstLine="709"/>
        <w:jc w:val="center"/>
        <w:rPr/>
      </w:pPr>
      <w:r>
        <w:rPr/>
      </w:r>
    </w:p>
    <w:p>
      <w:pPr>
        <w:pStyle w:val="Normal"/>
        <w:jc w:val="center"/>
        <w:rPr>
          <w:sz w:val="28"/>
          <w:szCs w:val="28"/>
        </w:rPr>
      </w:pPr>
      <w:r>
        <w:rPr>
          <w:b/>
          <w:sz w:val="28"/>
          <w:szCs w:val="28"/>
        </w:rPr>
        <w:t>Стратегия за развитие на Висшето образование в България</w:t>
      </w:r>
      <w:r>
        <w:rPr>
          <w:sz w:val="28"/>
          <w:szCs w:val="28"/>
        </w:rPr>
        <w:t xml:space="preserve"> </w:t>
      </w:r>
    </w:p>
    <w:p>
      <w:pPr>
        <w:pStyle w:val="Normal"/>
        <w:jc w:val="both"/>
        <w:rPr>
          <w:b/>
          <w:b/>
          <w:bCs/>
          <w:sz w:val="28"/>
          <w:szCs w:val="28"/>
        </w:rPr>
      </w:pPr>
      <w:r>
        <w:rPr>
          <w:b/>
          <w:bCs/>
          <w:sz w:val="28"/>
          <w:szCs w:val="28"/>
        </w:rPr>
      </w:r>
    </w:p>
    <w:p>
      <w:pPr>
        <w:pStyle w:val="Normal"/>
        <w:jc w:val="both"/>
        <w:rPr>
          <w:b/>
          <w:b/>
          <w:bCs/>
          <w:sz w:val="28"/>
          <w:szCs w:val="28"/>
        </w:rPr>
      </w:pPr>
      <w:r>
        <w:rPr>
          <w:b/>
          <w:bCs/>
          <w:sz w:val="28"/>
          <w:szCs w:val="28"/>
        </w:rPr>
      </w:r>
    </w:p>
    <w:p>
      <w:pPr>
        <w:pStyle w:val="Normal"/>
        <w:jc w:val="both"/>
        <w:rPr>
          <w:b/>
          <w:b/>
          <w:bCs/>
        </w:rPr>
      </w:pPr>
      <w:r>
        <w:rPr>
          <w:b/>
          <w:bCs/>
        </w:rPr>
        <w:t>Основни акценти</w:t>
      </w:r>
    </w:p>
    <w:p>
      <w:pPr>
        <w:pStyle w:val="Normal"/>
        <w:jc w:val="both"/>
        <w:rPr>
          <w:b/>
          <w:b/>
          <w:bCs/>
        </w:rPr>
      </w:pPr>
      <w:r>
        <w:rPr>
          <w:b/>
          <w:bCs/>
        </w:rPr>
        <w:t>Масовизация на висшето образование</w:t>
      </w:r>
    </w:p>
    <w:p>
      <w:pPr>
        <w:pStyle w:val="Normal"/>
        <w:jc w:val="both"/>
        <w:rPr>
          <w:b/>
          <w:b/>
          <w:bCs/>
        </w:rPr>
      </w:pPr>
      <w:r>
        <w:rPr>
          <w:b/>
          <w:bCs/>
        </w:rPr>
        <w:t>Проявления</w:t>
      </w:r>
    </w:p>
    <w:p>
      <w:pPr>
        <w:pStyle w:val="Normal"/>
        <w:jc w:val="both"/>
        <w:rPr/>
      </w:pPr>
      <w:r>
        <w:rPr/>
        <w:t>- постоянно разширяване на достъпа до висше образование</w:t>
      </w:r>
    </w:p>
    <w:p>
      <w:pPr>
        <w:pStyle w:val="Normal"/>
        <w:jc w:val="both"/>
        <w:rPr/>
      </w:pPr>
      <w:r>
        <w:rPr/>
        <w:t>- намаляване на периодите на обучение</w:t>
      </w:r>
    </w:p>
    <w:p>
      <w:pPr>
        <w:pStyle w:val="Normal"/>
        <w:jc w:val="both"/>
        <w:rPr>
          <w:b/>
          <w:b/>
          <w:bCs/>
        </w:rPr>
      </w:pPr>
      <w:r>
        <w:rPr>
          <w:b/>
          <w:bCs/>
        </w:rPr>
        <w:t xml:space="preserve">Измерения   </w:t>
      </w:r>
    </w:p>
    <w:p>
      <w:pPr>
        <w:pStyle w:val="Normal"/>
        <w:jc w:val="both"/>
        <w:rPr/>
      </w:pPr>
      <w:r>
        <w:rPr/>
        <w:t xml:space="preserve">- Брой студенти: ЕС (25 членки) – около </w:t>
      </w:r>
      <w:r>
        <w:rPr>
          <w:b/>
          <w:bCs/>
        </w:rPr>
        <w:t xml:space="preserve">17 млн. студенти </w:t>
      </w:r>
      <w:r>
        <w:rPr/>
        <w:t>(</w:t>
      </w:r>
      <w:r>
        <w:rPr>
          <w:b/>
          <w:bCs/>
        </w:rPr>
        <w:t>3,7%</w:t>
      </w:r>
      <w:r>
        <w:rPr/>
        <w:t xml:space="preserve"> от населението), България – около </w:t>
      </w:r>
      <w:r>
        <w:rPr>
          <w:b/>
          <w:bCs/>
        </w:rPr>
        <w:t xml:space="preserve">244 000 студенти </w:t>
      </w:r>
      <w:r>
        <w:rPr/>
        <w:t>(</w:t>
      </w:r>
      <w:r>
        <w:rPr>
          <w:b/>
          <w:bCs/>
        </w:rPr>
        <w:t xml:space="preserve">3,2% </w:t>
      </w:r>
      <w:r>
        <w:rPr/>
        <w:t>от населението)</w:t>
      </w:r>
    </w:p>
    <w:p>
      <w:pPr>
        <w:pStyle w:val="Normal"/>
        <w:jc w:val="both"/>
        <w:rPr/>
      </w:pPr>
      <w:r>
        <w:rPr/>
        <w:t>- Брой обучаеми след средно образование между 20 и 24 години като % от общия брой население в тази възраст:</w:t>
      </w:r>
    </w:p>
    <w:p>
      <w:pPr>
        <w:pStyle w:val="Normal"/>
        <w:jc w:val="both"/>
        <w:rPr/>
      </w:pPr>
      <w:r>
        <w:rPr/>
        <w:t xml:space="preserve">ЕС (25 членки) – </w:t>
      </w:r>
      <w:r>
        <w:rPr>
          <w:b/>
          <w:bCs/>
        </w:rPr>
        <w:t>57%</w:t>
      </w:r>
      <w:r>
        <w:rPr/>
        <w:t xml:space="preserve">, САЩ – </w:t>
      </w:r>
      <w:r>
        <w:rPr>
          <w:b/>
          <w:bCs/>
        </w:rPr>
        <w:t>81%</w:t>
      </w:r>
      <w:r>
        <w:rPr/>
        <w:t xml:space="preserve">, България – </w:t>
      </w:r>
      <w:r>
        <w:rPr>
          <w:b/>
          <w:bCs/>
        </w:rPr>
        <w:t>34%</w:t>
      </w:r>
    </w:p>
    <w:p>
      <w:pPr>
        <w:pStyle w:val="Normal"/>
        <w:jc w:val="both"/>
        <w:rPr>
          <w:b/>
          <w:b/>
          <w:bCs/>
        </w:rPr>
      </w:pPr>
      <w:r>
        <w:rPr>
          <w:b/>
          <w:bCs/>
        </w:rPr>
        <w:t>Изводи</w:t>
      </w:r>
    </w:p>
    <w:p>
      <w:pPr>
        <w:pStyle w:val="Normal"/>
        <w:jc w:val="both"/>
        <w:rPr/>
      </w:pPr>
      <w:r>
        <w:rPr/>
        <w:t>- Големият брой студенти, съответно специалисти с висше образование не е проблем за страната.</w:t>
      </w:r>
    </w:p>
    <w:p>
      <w:pPr>
        <w:pStyle w:val="Normal"/>
        <w:jc w:val="both"/>
        <w:rPr/>
      </w:pPr>
      <w:r>
        <w:rPr/>
        <w:t xml:space="preserve">- Необходимо е създаването на възможност </w:t>
      </w:r>
    </w:p>
    <w:p>
      <w:pPr>
        <w:pStyle w:val="Normal"/>
        <w:jc w:val="both"/>
        <w:rPr>
          <w:b/>
          <w:b/>
          <w:bCs/>
        </w:rPr>
      </w:pPr>
      <w:r>
        <w:rPr>
          <w:b/>
          <w:bCs/>
        </w:rPr>
        <w:t>Перспективи пред Европа. Гаранции за запазване на достъпа до образование.</w:t>
      </w:r>
    </w:p>
    <w:p>
      <w:pPr>
        <w:pStyle w:val="Normal"/>
        <w:jc w:val="both"/>
        <w:rPr>
          <w:b/>
          <w:b/>
          <w:bCs/>
        </w:rPr>
      </w:pPr>
      <w:r>
        <w:rPr>
          <w:b/>
          <w:bCs/>
        </w:rPr>
        <w:t xml:space="preserve"> </w:t>
      </w:r>
      <w:r>
        <w:rPr>
          <w:b/>
          <w:bCs/>
        </w:rPr>
        <w:t>Система за социално подпомагане на студентите.</w:t>
      </w:r>
    </w:p>
    <w:p>
      <w:pPr>
        <w:pStyle w:val="Normal"/>
        <w:jc w:val="both"/>
        <w:rPr/>
      </w:pPr>
      <w:r>
        <w:rPr/>
        <w:t>- стипендии – изясняване на съотношението със студентските заеми</w:t>
      </w:r>
    </w:p>
    <w:p>
      <w:pPr>
        <w:pStyle w:val="Normal"/>
        <w:jc w:val="both"/>
        <w:rPr/>
      </w:pPr>
      <w:r>
        <w:rPr/>
        <w:t>- общежития – програма за изграждане и поддържане на студентските общежития, в т. ч. чрез форми на публично-частно партньорство</w:t>
      </w:r>
    </w:p>
    <w:p>
      <w:pPr>
        <w:pStyle w:val="Normal"/>
        <w:jc w:val="both"/>
        <w:rPr>
          <w:b/>
          <w:b/>
          <w:bCs/>
        </w:rPr>
      </w:pPr>
      <w:r>
        <w:rPr>
          <w:b/>
          <w:bCs/>
        </w:rPr>
        <w:t>Система за кредитиране на студентите</w:t>
      </w:r>
    </w:p>
    <w:p>
      <w:pPr>
        <w:pStyle w:val="Normal"/>
        <w:jc w:val="both"/>
        <w:rPr/>
      </w:pPr>
      <w:r>
        <w:rPr/>
        <w:t>- отпускане от търговските банки</w:t>
      </w:r>
    </w:p>
    <w:p>
      <w:pPr>
        <w:pStyle w:val="Normal"/>
        <w:jc w:val="both"/>
        <w:rPr/>
      </w:pPr>
      <w:r>
        <w:rPr/>
        <w:t>- облекчени условия и ред</w:t>
      </w:r>
    </w:p>
    <w:p>
      <w:pPr>
        <w:pStyle w:val="Normal"/>
        <w:jc w:val="both"/>
        <w:rPr/>
      </w:pPr>
      <w:r>
        <w:rPr/>
        <w:t>- държавен гаранционен фонд</w:t>
      </w:r>
    </w:p>
    <w:p>
      <w:pPr>
        <w:pStyle w:val="Normal"/>
        <w:jc w:val="both"/>
        <w:rPr>
          <w:b/>
          <w:b/>
          <w:bCs/>
        </w:rPr>
      </w:pPr>
      <w:r>
        <w:rPr>
          <w:b/>
          <w:bCs/>
        </w:rPr>
        <w:t xml:space="preserve"> </w:t>
      </w:r>
      <w:r>
        <w:rPr>
          <w:b/>
          <w:bCs/>
        </w:rPr>
        <w:t>Очаквани резултати</w:t>
      </w:r>
    </w:p>
    <w:p>
      <w:pPr>
        <w:pStyle w:val="Normal"/>
        <w:jc w:val="both"/>
        <w:rPr>
          <w:b/>
          <w:b/>
          <w:bCs/>
        </w:rPr>
      </w:pPr>
      <w:r>
        <w:rPr>
          <w:b/>
          <w:bCs/>
        </w:rPr>
        <w:t>Конкуренция между висшите училища</w:t>
      </w:r>
    </w:p>
    <w:p>
      <w:pPr>
        <w:pStyle w:val="Normal"/>
        <w:jc w:val="both"/>
        <w:rPr/>
      </w:pPr>
      <w:r>
        <w:rPr/>
        <w:t>- при привличането на студенти</w:t>
      </w:r>
    </w:p>
    <w:p>
      <w:pPr>
        <w:pStyle w:val="Normal"/>
        <w:jc w:val="both"/>
        <w:rPr/>
      </w:pPr>
      <w:r>
        <w:rPr/>
        <w:t>- при определянето на таксите за обучение</w:t>
      </w:r>
    </w:p>
    <w:p>
      <w:pPr>
        <w:pStyle w:val="Normal"/>
        <w:jc w:val="both"/>
        <w:rPr/>
      </w:pPr>
      <w:r>
        <w:rPr/>
        <w:t>Като резултат: преосмисляне на приемните изпити</w:t>
      </w:r>
    </w:p>
    <w:p>
      <w:pPr>
        <w:pStyle w:val="Normal"/>
        <w:jc w:val="both"/>
        <w:rPr>
          <w:b/>
          <w:b/>
          <w:bCs/>
        </w:rPr>
      </w:pPr>
      <w:r>
        <w:rPr>
          <w:b/>
          <w:bCs/>
        </w:rPr>
        <w:t>Увеличаване на приходите на висшите училища</w:t>
      </w:r>
    </w:p>
    <w:p>
      <w:pPr>
        <w:pStyle w:val="Normal"/>
        <w:jc w:val="both"/>
        <w:rPr>
          <w:b/>
          <w:b/>
          <w:bCs/>
        </w:rPr>
      </w:pPr>
      <w:r>
        <w:rPr>
          <w:b/>
          <w:bCs/>
        </w:rPr>
        <w:t>Решение на въпроса за  обучението на студенти от държавите членки на ЕС</w:t>
      </w:r>
    </w:p>
    <w:p>
      <w:pPr>
        <w:pStyle w:val="Normal"/>
        <w:jc w:val="both"/>
        <w:rPr>
          <w:b/>
          <w:b/>
          <w:bCs/>
        </w:rPr>
      </w:pPr>
      <w:r>
        <w:rPr>
          <w:b/>
          <w:bCs/>
        </w:rPr>
        <w:t>Намаляване на натиска за създаване на нови висши училища</w:t>
      </w:r>
    </w:p>
    <w:p>
      <w:pPr>
        <w:pStyle w:val="Normal"/>
        <w:jc w:val="both"/>
        <w:rPr>
          <w:b/>
          <w:b/>
          <w:bCs/>
        </w:rPr>
      </w:pPr>
      <w:r>
        <w:rPr>
          <w:b/>
          <w:bCs/>
        </w:rPr>
        <w:t>По-ефективно и прозрачно управление</w:t>
      </w:r>
    </w:p>
    <w:p>
      <w:pPr>
        <w:pStyle w:val="Normal"/>
        <w:jc w:val="both"/>
        <w:rPr>
          <w:b/>
          <w:b/>
          <w:bCs/>
        </w:rPr>
      </w:pPr>
      <w:r>
        <w:rPr>
          <w:b/>
          <w:bCs/>
        </w:rPr>
        <w:t>Принципи</w:t>
      </w:r>
    </w:p>
    <w:p>
      <w:pPr>
        <w:pStyle w:val="Normal"/>
        <w:jc w:val="both"/>
        <w:rPr>
          <w:b/>
          <w:b/>
          <w:bCs/>
        </w:rPr>
      </w:pPr>
      <w:r>
        <w:rPr>
          <w:b/>
          <w:bCs/>
        </w:rPr>
        <w:t>Висшите училища са автономни институции</w:t>
      </w:r>
    </w:p>
    <w:p>
      <w:pPr>
        <w:pStyle w:val="Normal"/>
        <w:jc w:val="both"/>
        <w:rPr/>
      </w:pPr>
      <w:r>
        <w:rPr/>
        <w:t>- Засилване на автономията във финансовата сфера</w:t>
      </w:r>
    </w:p>
    <w:p>
      <w:pPr>
        <w:pStyle w:val="Normal"/>
        <w:jc w:val="both"/>
        <w:rPr>
          <w:b/>
          <w:b/>
          <w:bCs/>
        </w:rPr>
      </w:pPr>
      <w:r>
        <w:rPr>
          <w:b/>
          <w:bCs/>
        </w:rPr>
        <w:t>Висшите училища са публични институции</w:t>
      </w:r>
    </w:p>
    <w:p>
      <w:pPr>
        <w:pStyle w:val="Normal"/>
        <w:jc w:val="both"/>
        <w:rPr/>
      </w:pPr>
      <w:r>
        <w:rPr/>
        <w:t>- Създаване на допълнителни механизми за публичност и</w:t>
      </w:r>
    </w:p>
    <w:p>
      <w:pPr>
        <w:pStyle w:val="Normal"/>
        <w:jc w:val="both"/>
        <w:rPr/>
      </w:pPr>
      <w:r>
        <w:rPr/>
        <w:t>прозрачност на управлението</w:t>
      </w:r>
    </w:p>
    <w:p>
      <w:pPr>
        <w:pStyle w:val="Normal"/>
        <w:jc w:val="both"/>
        <w:rPr>
          <w:b/>
          <w:b/>
          <w:bCs/>
        </w:rPr>
      </w:pPr>
      <w:r>
        <w:rPr>
          <w:b/>
          <w:bCs/>
        </w:rPr>
        <w:t>Основни моменти (1)</w:t>
      </w:r>
    </w:p>
    <w:p>
      <w:pPr>
        <w:pStyle w:val="Normal"/>
        <w:jc w:val="both"/>
        <w:rPr/>
      </w:pPr>
      <w:r>
        <w:rPr>
          <w:b/>
          <w:bCs/>
        </w:rPr>
        <w:t>Създаване на колективни органи с участието на външни спрямо висшето училище лица (съвети на настоятелите).</w:t>
      </w:r>
    </w:p>
    <w:p>
      <w:pPr>
        <w:pStyle w:val="Normal"/>
        <w:jc w:val="both"/>
        <w:rPr/>
      </w:pPr>
      <w:r>
        <w:rPr>
          <w:b/>
          <w:bCs/>
        </w:rPr>
        <w:t>-Състав:</w:t>
      </w:r>
      <w:r>
        <w:rPr/>
        <w:t>9-15 членове – бивши ректори, работодатели, големи дарители, публични личности, представител на студентите и др.</w:t>
      </w:r>
    </w:p>
    <w:p>
      <w:pPr>
        <w:pStyle w:val="Normal"/>
        <w:jc w:val="both"/>
        <w:rPr/>
      </w:pPr>
      <w:r>
        <w:rPr/>
        <w:t xml:space="preserve">- </w:t>
      </w:r>
      <w:r>
        <w:rPr>
          <w:b/>
          <w:bCs/>
        </w:rPr>
        <w:t xml:space="preserve">Процедура за съставяне: </w:t>
      </w:r>
      <w:r>
        <w:rPr/>
        <w:t>½ – от академичния съвет по предложение на ректора, ½ – от министър-председателя по предложение на министъра на образованието и науката</w:t>
      </w:r>
    </w:p>
    <w:p>
      <w:pPr>
        <w:pStyle w:val="Normal"/>
        <w:jc w:val="both"/>
        <w:rPr/>
      </w:pPr>
      <w:r>
        <w:rPr/>
        <w:t>Университетският омбудсман е член на съвета по право.</w:t>
      </w:r>
    </w:p>
    <w:p>
      <w:pPr>
        <w:pStyle w:val="Normal"/>
        <w:jc w:val="both"/>
        <w:rPr/>
      </w:pPr>
      <w:r>
        <w:rPr/>
        <w:t>- Осигуряване на относителна независимост на ректора и академичното ръководство по отношение на преподавателите и служителите във висшето училище.</w:t>
      </w:r>
    </w:p>
    <w:p>
      <w:pPr>
        <w:pStyle w:val="Normal"/>
        <w:jc w:val="both"/>
        <w:rPr/>
      </w:pPr>
      <w:r>
        <w:rPr>
          <w:b/>
          <w:bCs/>
        </w:rPr>
        <w:t xml:space="preserve">До 2030 г. </w:t>
      </w:r>
      <w:r>
        <w:rPr/>
        <w:t>(по данни на ЕС):</w:t>
      </w:r>
    </w:p>
    <w:p>
      <w:pPr>
        <w:pStyle w:val="Normal"/>
        <w:jc w:val="both"/>
        <w:rPr/>
      </w:pPr>
      <w:r>
        <w:rPr/>
        <w:t xml:space="preserve">- почти </w:t>
      </w:r>
      <w:r>
        <w:rPr>
          <w:b/>
          <w:bCs/>
        </w:rPr>
        <w:t xml:space="preserve">14 млн. </w:t>
      </w:r>
      <w:r>
        <w:rPr/>
        <w:t>повече възрастно население</w:t>
      </w:r>
    </w:p>
    <w:p>
      <w:pPr>
        <w:pStyle w:val="Normal"/>
        <w:jc w:val="both"/>
        <w:rPr/>
      </w:pPr>
      <w:r>
        <w:rPr/>
        <w:t xml:space="preserve">- </w:t>
      </w:r>
      <w:r>
        <w:rPr>
          <w:b/>
          <w:bCs/>
        </w:rPr>
        <w:t xml:space="preserve">9 млн. </w:t>
      </w:r>
      <w:r>
        <w:rPr/>
        <w:t>по-малко млади хора</w:t>
      </w:r>
    </w:p>
    <w:p>
      <w:pPr>
        <w:pStyle w:val="Normal"/>
        <w:jc w:val="both"/>
        <w:rPr/>
      </w:pPr>
      <w:r>
        <w:rPr/>
        <w:t xml:space="preserve">- </w:t>
      </w:r>
      <w:r>
        <w:rPr>
          <w:b/>
          <w:bCs/>
        </w:rPr>
        <w:t xml:space="preserve">2 млн. </w:t>
      </w:r>
      <w:r>
        <w:rPr/>
        <w:t>по-малко обучаващи се общо в системата на началното професионално образование (на училищно ниво) и в системата на висшето образование– при запазване на сегашния обхват на системите</w:t>
      </w:r>
    </w:p>
    <w:p>
      <w:pPr>
        <w:pStyle w:val="Normal"/>
        <w:jc w:val="both"/>
        <w:rPr/>
      </w:pPr>
      <w:r>
        <w:rPr/>
        <w:t xml:space="preserve">- oколо </w:t>
      </w:r>
      <w:r>
        <w:rPr>
          <w:b/>
          <w:bCs/>
        </w:rPr>
        <w:t xml:space="preserve">72 млн. </w:t>
      </w:r>
      <w:r>
        <w:rPr/>
        <w:t>европейци с ниска или почти никаква квалификация (броят им е равен на населението на Франция, Ирландия и всички прибалтийски страни, взети заедно)</w:t>
      </w:r>
    </w:p>
    <w:p>
      <w:pPr>
        <w:pStyle w:val="Normal"/>
        <w:jc w:val="both"/>
        <w:rPr>
          <w:b/>
          <w:b/>
          <w:bCs/>
        </w:rPr>
      </w:pPr>
      <w:r>
        <w:rPr>
          <w:b/>
          <w:bCs/>
        </w:rPr>
        <w:t>Състояние днес</w:t>
      </w:r>
    </w:p>
    <w:p>
      <w:pPr>
        <w:pStyle w:val="Normal"/>
        <w:jc w:val="both"/>
        <w:rPr/>
      </w:pPr>
      <w:r>
        <w:rPr/>
        <w:t xml:space="preserve">Участие във форми на ученето през целия живот: между 30 и 34 </w:t>
      </w:r>
    </w:p>
    <w:p>
      <w:pPr>
        <w:pStyle w:val="Normal"/>
        <w:jc w:val="both"/>
        <w:rPr/>
      </w:pPr>
      <w:r>
        <w:rPr/>
        <w:t>години – ЕС-25 – 4,1%, САЩ – 7%; между 35 и 39 години –</w:t>
      </w:r>
    </w:p>
    <w:p>
      <w:pPr>
        <w:pStyle w:val="Normal"/>
        <w:jc w:val="both"/>
        <w:rPr/>
      </w:pPr>
      <w:r>
        <w:rPr/>
        <w:t>ЕС (25 членки) – 1,8%, САЩ – 4,9%</w:t>
      </w:r>
    </w:p>
    <w:p>
      <w:pPr>
        <w:pStyle w:val="Normal"/>
        <w:jc w:val="both"/>
        <w:rPr>
          <w:b/>
          <w:b/>
          <w:bCs/>
        </w:rPr>
      </w:pPr>
      <w:r>
        <w:rPr>
          <w:b/>
          <w:bCs/>
        </w:rPr>
        <w:t xml:space="preserve">Изводи   </w:t>
      </w:r>
    </w:p>
    <w:p>
      <w:pPr>
        <w:pStyle w:val="Normal"/>
        <w:jc w:val="both"/>
        <w:rPr/>
      </w:pPr>
      <w:r>
        <w:rPr/>
        <w:t>- Университетът в XXI век е натоварен с нова функция – предоставяне на широк спектър от курсове за повишаване на квалификацията</w:t>
      </w:r>
    </w:p>
    <w:p>
      <w:pPr>
        <w:pStyle w:val="Normal"/>
        <w:jc w:val="both"/>
        <w:rPr/>
      </w:pPr>
      <w:r>
        <w:rPr/>
        <w:t>- Ученето през целия живот открива нови възможности пред висшите училища</w:t>
      </w:r>
    </w:p>
    <w:p>
      <w:pPr>
        <w:pStyle w:val="Normal"/>
        <w:jc w:val="both"/>
        <w:rPr/>
      </w:pPr>
      <w:r>
        <w:rPr/>
      </w:r>
    </w:p>
    <w:p>
      <w:pPr>
        <w:pStyle w:val="Normal"/>
        <w:jc w:val="both"/>
        <w:rPr>
          <w:b/>
          <w:b/>
          <w:bCs/>
        </w:rPr>
      </w:pPr>
      <w:r>
        <w:rPr>
          <w:b/>
          <w:bCs/>
        </w:rPr>
        <w:t>Висшите училища и пазарът на труда. Кой пазар</w:t>
      </w:r>
    </w:p>
    <w:p>
      <w:pPr>
        <w:pStyle w:val="Normal"/>
        <w:jc w:val="both"/>
        <w:rPr/>
      </w:pPr>
      <w:r>
        <w:rPr/>
        <w:t>- Пазарът “днес” или пазарът “утре”</w:t>
      </w:r>
    </w:p>
    <w:p>
      <w:pPr>
        <w:pStyle w:val="Normal"/>
        <w:jc w:val="both"/>
        <w:rPr/>
      </w:pPr>
      <w:r>
        <w:rPr/>
        <w:t>- Пазарът на България или пазарът на ЕС</w:t>
      </w:r>
    </w:p>
    <w:p>
      <w:pPr>
        <w:pStyle w:val="Normal"/>
        <w:jc w:val="both"/>
        <w:rPr>
          <w:b/>
          <w:b/>
          <w:bCs/>
        </w:rPr>
      </w:pPr>
      <w:r>
        <w:rPr>
          <w:b/>
          <w:bCs/>
        </w:rPr>
        <w:t xml:space="preserve">Извод  </w:t>
      </w:r>
    </w:p>
    <w:p>
      <w:pPr>
        <w:pStyle w:val="Normal"/>
        <w:jc w:val="both"/>
        <w:rPr/>
      </w:pPr>
      <w:r>
        <w:rPr/>
        <w:t>- “Социалното инженерство” при подготовката на кадри в условията на свободното движение на работна сила е илюзия.</w:t>
      </w:r>
    </w:p>
    <w:p>
      <w:pPr>
        <w:pStyle w:val="Normal"/>
        <w:jc w:val="both"/>
        <w:rPr/>
      </w:pPr>
      <w:r>
        <w:rPr/>
        <w:t>- Държавата запазва регулативната си функция, но не може да изкриви пазара.</w:t>
      </w:r>
    </w:p>
    <w:p>
      <w:pPr>
        <w:pStyle w:val="Normal"/>
        <w:jc w:val="both"/>
        <w:rPr>
          <w:b/>
          <w:b/>
          <w:bCs/>
        </w:rPr>
      </w:pPr>
      <w:r>
        <w:rPr>
          <w:b/>
          <w:bCs/>
        </w:rPr>
        <w:t>Предизвикателства пред висшето образование</w:t>
      </w:r>
    </w:p>
    <w:p>
      <w:pPr>
        <w:pStyle w:val="Normal"/>
        <w:jc w:val="both"/>
        <w:rPr/>
      </w:pPr>
      <w:r>
        <w:rPr>
          <w:color w:val="330065"/>
        </w:rPr>
        <w:t>1.</w:t>
      </w:r>
      <w:r>
        <w:rPr/>
        <w:t xml:space="preserve"> Моделът на финансиране</w:t>
      </w:r>
    </w:p>
    <w:p>
      <w:pPr>
        <w:pStyle w:val="Normal"/>
        <w:jc w:val="both"/>
        <w:rPr/>
      </w:pPr>
      <w:r>
        <w:rPr>
          <w:color w:val="330065"/>
        </w:rPr>
        <w:t>2.</w:t>
      </w:r>
      <w:r>
        <w:rPr/>
        <w:t xml:space="preserve"> Управлението на висшите училища</w:t>
      </w:r>
    </w:p>
    <w:p>
      <w:pPr>
        <w:pStyle w:val="Normal"/>
        <w:jc w:val="both"/>
        <w:rPr/>
      </w:pPr>
      <w:r>
        <w:rPr>
          <w:color w:val="330065"/>
        </w:rPr>
        <w:t>3.</w:t>
      </w:r>
      <w:r>
        <w:rPr/>
        <w:t xml:space="preserve"> Институциите, предоставящи висше образование и тяхната структура</w:t>
      </w:r>
    </w:p>
    <w:p>
      <w:pPr>
        <w:pStyle w:val="Normal"/>
        <w:jc w:val="both"/>
        <w:rPr/>
      </w:pPr>
      <w:r>
        <w:rPr>
          <w:color w:val="330065"/>
        </w:rPr>
        <w:t>4.</w:t>
      </w:r>
      <w:r>
        <w:rPr/>
        <w:t xml:space="preserve"> Академичният състав</w:t>
      </w:r>
    </w:p>
    <w:p>
      <w:pPr>
        <w:pStyle w:val="Normal"/>
        <w:jc w:val="both"/>
        <w:rPr/>
      </w:pPr>
      <w:r>
        <w:rPr>
          <w:color w:val="330065"/>
        </w:rPr>
        <w:t>5.</w:t>
      </w:r>
      <w:r>
        <w:rPr/>
        <w:t xml:space="preserve"> Качеството на  висшето образование</w:t>
      </w:r>
    </w:p>
    <w:p>
      <w:pPr>
        <w:pStyle w:val="Normal"/>
        <w:jc w:val="both"/>
        <w:rPr/>
      </w:pPr>
      <w:r>
        <w:rPr>
          <w:color w:val="330065"/>
        </w:rPr>
        <w:t>6.</w:t>
      </w:r>
      <w:r>
        <w:rPr/>
        <w:t xml:space="preserve"> Висшите училища като научни центрове</w:t>
      </w:r>
    </w:p>
    <w:p>
      <w:pPr>
        <w:pStyle w:val="Normal"/>
        <w:jc w:val="both"/>
        <w:rPr/>
      </w:pPr>
      <w:r>
        <w:rPr>
          <w:color w:val="330065"/>
        </w:rPr>
        <w:t>7.</w:t>
      </w:r>
      <w:r>
        <w:rPr/>
        <w:t xml:space="preserve"> Мобилността</w:t>
      </w:r>
    </w:p>
    <w:p>
      <w:pPr>
        <w:pStyle w:val="Normal"/>
        <w:jc w:val="both"/>
        <w:rPr>
          <w:b/>
          <w:b/>
          <w:bCs/>
        </w:rPr>
      </w:pPr>
      <w:r>
        <w:rPr>
          <w:b/>
          <w:bCs/>
        </w:rPr>
        <w:t>Нов модел на финансиране, стимулиращ конкуренцията и развитието.</w:t>
      </w:r>
    </w:p>
    <w:p>
      <w:pPr>
        <w:pStyle w:val="Normal"/>
        <w:jc w:val="both"/>
        <w:rPr>
          <w:b/>
          <w:b/>
          <w:bCs/>
        </w:rPr>
      </w:pPr>
      <w:r>
        <w:rPr>
          <w:b/>
          <w:bCs/>
        </w:rPr>
        <w:t>Европейски процеси</w:t>
      </w:r>
    </w:p>
    <w:p>
      <w:pPr>
        <w:pStyle w:val="Normal"/>
        <w:jc w:val="both"/>
        <w:rPr>
          <w:b/>
          <w:b/>
          <w:bCs/>
        </w:rPr>
      </w:pPr>
      <w:r>
        <w:rPr>
          <w:b/>
          <w:bCs/>
        </w:rPr>
        <w:t>Недостатъчно финансиране</w:t>
      </w:r>
    </w:p>
    <w:p>
      <w:pPr>
        <w:pStyle w:val="Normal"/>
        <w:jc w:val="both"/>
        <w:rPr/>
      </w:pPr>
      <w:r>
        <w:rPr/>
        <w:t xml:space="preserve">- общо публични разходи: ЕС (25 членки) – средно </w:t>
      </w:r>
      <w:r>
        <w:rPr>
          <w:b/>
          <w:bCs/>
        </w:rPr>
        <w:t xml:space="preserve">1.2% </w:t>
      </w:r>
      <w:r>
        <w:rPr/>
        <w:t xml:space="preserve">от БВП, Канада – </w:t>
      </w:r>
      <w:r>
        <w:rPr>
          <w:b/>
          <w:bCs/>
        </w:rPr>
        <w:t xml:space="preserve">2.3%, </w:t>
      </w:r>
      <w:r>
        <w:rPr/>
        <w:t xml:space="preserve">САЩ – </w:t>
      </w:r>
      <w:r>
        <w:rPr>
          <w:b/>
          <w:bCs/>
        </w:rPr>
        <w:t>2.6%</w:t>
      </w:r>
    </w:p>
    <w:p>
      <w:pPr>
        <w:pStyle w:val="Normal"/>
        <w:jc w:val="both"/>
        <w:rPr/>
      </w:pPr>
      <w:r>
        <w:rPr/>
        <w:t xml:space="preserve">- разходи за един студент: ЕС (25 членки) – средно </w:t>
      </w:r>
      <w:r>
        <w:rPr>
          <w:b/>
          <w:bCs/>
        </w:rPr>
        <w:t>8 600 евро,</w:t>
      </w:r>
      <w:r>
        <w:rPr/>
        <w:t xml:space="preserve"> САЩ – около </w:t>
      </w:r>
      <w:r>
        <w:rPr>
          <w:b/>
          <w:bCs/>
        </w:rPr>
        <w:t>20 000 евро</w:t>
      </w:r>
    </w:p>
    <w:p>
      <w:pPr>
        <w:pStyle w:val="Normal"/>
        <w:jc w:val="both"/>
        <w:rPr>
          <w:b/>
          <w:b/>
          <w:bCs/>
        </w:rPr>
      </w:pPr>
      <w:r>
        <w:rPr>
          <w:b/>
          <w:bCs/>
        </w:rPr>
        <w:t>Зависимост от държавата</w:t>
      </w:r>
    </w:p>
    <w:p>
      <w:pPr>
        <w:pStyle w:val="Normal"/>
        <w:jc w:val="both"/>
        <w:rPr/>
      </w:pPr>
      <w:r>
        <w:rPr/>
        <w:t xml:space="preserve">- частно финансиране: ЕС-25 – средно </w:t>
      </w:r>
      <w:r>
        <w:rPr>
          <w:b/>
          <w:bCs/>
        </w:rPr>
        <w:t xml:space="preserve">0.1% </w:t>
      </w:r>
      <w:r>
        <w:rPr/>
        <w:t xml:space="preserve">от БВП, САЩ – </w:t>
      </w:r>
      <w:r>
        <w:rPr>
          <w:b/>
          <w:bCs/>
        </w:rPr>
        <w:t>1.4%</w:t>
      </w:r>
      <w:r>
        <w:rPr/>
        <w:t xml:space="preserve">, Южна Корея – </w:t>
      </w:r>
      <w:r>
        <w:rPr>
          <w:b/>
          <w:bCs/>
        </w:rPr>
        <w:t>2.4%</w:t>
      </w:r>
    </w:p>
    <w:p>
      <w:pPr>
        <w:pStyle w:val="Normal"/>
        <w:jc w:val="both"/>
        <w:rPr>
          <w:b/>
          <w:b/>
          <w:bCs/>
        </w:rPr>
      </w:pPr>
      <w:r>
        <w:rPr>
          <w:b/>
          <w:bCs/>
        </w:rPr>
        <w:t>Къде сме ние ?</w:t>
      </w:r>
    </w:p>
    <w:p>
      <w:pPr>
        <w:pStyle w:val="Normal"/>
        <w:jc w:val="both"/>
        <w:rPr/>
      </w:pPr>
      <w:r>
        <w:rPr>
          <w:b/>
          <w:bCs/>
        </w:rPr>
        <w:t xml:space="preserve">Общо публични разходи за висше образование – </w:t>
      </w:r>
      <w:r>
        <w:rPr/>
        <w:t>около</w:t>
      </w:r>
    </w:p>
    <w:p>
      <w:pPr>
        <w:pStyle w:val="Normal"/>
        <w:jc w:val="both"/>
        <w:rPr/>
      </w:pPr>
      <w:r>
        <w:rPr/>
        <w:t>0,8% от БВП (БВП за 2006 г. – 46,6 млрд. лв., ръст спрямо 2005 г. 5,3%).</w:t>
      </w:r>
    </w:p>
    <w:p>
      <w:pPr>
        <w:pStyle w:val="Normal"/>
        <w:jc w:val="both"/>
        <w:rPr/>
      </w:pPr>
      <w:r>
        <w:rPr>
          <w:b/>
          <w:bCs/>
        </w:rPr>
        <w:t xml:space="preserve">Държавна субсидия за висшите училища (2006 г.) </w:t>
      </w:r>
      <w:r>
        <w:rPr/>
        <w:t>–262.5 млн. лв. (0,58% от БВП)</w:t>
      </w:r>
    </w:p>
    <w:p>
      <w:pPr>
        <w:pStyle w:val="Normal"/>
        <w:jc w:val="both"/>
        <w:rPr/>
      </w:pPr>
      <w:r>
        <w:rPr>
          <w:b/>
          <w:bCs/>
        </w:rPr>
        <w:t xml:space="preserve">Издръжка на един студент в </w:t>
      </w:r>
      <w:r>
        <w:rPr/>
        <w:t>държавните висши училища за 2006 г. – средно 2307 лв. (без социални разходи – 1930 лв.)</w:t>
      </w:r>
    </w:p>
    <w:p>
      <w:pPr>
        <w:pStyle w:val="Normal"/>
        <w:jc w:val="both"/>
        <w:rPr/>
      </w:pPr>
      <w:r>
        <w:rPr>
          <w:b/>
          <w:bCs/>
        </w:rPr>
        <w:t xml:space="preserve">Приходи от такси в  държавните висши училища за 2006 г. </w:t>
      </w:r>
      <w:r>
        <w:rPr/>
        <w:t>–95.8 млн. лв</w:t>
      </w:r>
    </w:p>
    <w:p>
      <w:pPr>
        <w:pStyle w:val="Normal"/>
        <w:jc w:val="both"/>
        <w:rPr>
          <w:b/>
          <w:b/>
          <w:bCs/>
        </w:rPr>
      </w:pPr>
      <w:r>
        <w:rPr>
          <w:b/>
          <w:bCs/>
        </w:rPr>
        <w:t>Принципи на новия модел</w:t>
      </w:r>
    </w:p>
    <w:p>
      <w:pPr>
        <w:pStyle w:val="Normal"/>
        <w:jc w:val="both"/>
        <w:rPr/>
      </w:pPr>
      <w:r>
        <w:rPr>
          <w:b/>
          <w:bCs/>
        </w:rPr>
        <w:t>Увеличаване на общия размер на публичните средства за</w:t>
      </w:r>
      <w:r>
        <w:rPr>
          <w:b/>
          <w:bCs/>
          <w:color w:val="000065"/>
        </w:rPr>
        <w:t xml:space="preserve"> </w:t>
      </w:r>
      <w:r>
        <w:rPr>
          <w:b/>
          <w:bCs/>
        </w:rPr>
        <w:t>висше образование</w:t>
      </w:r>
    </w:p>
    <w:p>
      <w:pPr>
        <w:pStyle w:val="Normal"/>
        <w:jc w:val="both"/>
        <w:rPr/>
      </w:pPr>
      <w:r>
        <w:rPr/>
        <w:t>- % от БВП за образование(според бюджетната прогноза за2006 – 2009 г.) – 4,2%. Като абсолютна стойност –за 2007 г. –2 138.2 млн. лв., за 2008 г. – 2 338.2 млн. лв., за 2009 г. – 2 548.7 млн. лв.</w:t>
      </w:r>
    </w:p>
    <w:p>
      <w:pPr>
        <w:pStyle w:val="Normal"/>
        <w:jc w:val="both"/>
        <w:rPr/>
      </w:pPr>
      <w:r>
        <w:rPr/>
        <w:t>- държавна субсидия за висшите училища –за 2007 г. –254.7 млн. лв., зa 2008 г. – 263.4 млн. лв., а за 2009 г. –287.1 млн. лв., т. е. годишно нарастване с около 22-24 млн. лв.</w:t>
      </w:r>
    </w:p>
    <w:p>
      <w:pPr>
        <w:pStyle w:val="Normal"/>
        <w:jc w:val="both"/>
        <w:rPr/>
      </w:pPr>
      <w:r>
        <w:rPr/>
        <w:t>- изключване на приходите от такси от общия разходен таван за образование или възможност за увеличаване на този таван с техния размер.</w:t>
      </w:r>
    </w:p>
    <w:p>
      <w:pPr>
        <w:pStyle w:val="Normal"/>
        <w:jc w:val="both"/>
        <w:rPr>
          <w:b/>
          <w:b/>
          <w:bCs/>
        </w:rPr>
      </w:pPr>
      <w:r>
        <w:rPr>
          <w:b/>
          <w:bCs/>
        </w:rPr>
        <w:t>Модел, базиран на такси, определяни от висшите училища при регулиран от държавата максимален размер</w:t>
      </w:r>
    </w:p>
    <w:p>
      <w:pPr>
        <w:pStyle w:val="Normal"/>
        <w:jc w:val="both"/>
        <w:rPr>
          <w:b/>
          <w:b/>
          <w:bCs/>
        </w:rPr>
      </w:pPr>
      <w:r>
        <w:rPr>
          <w:b/>
          <w:bCs/>
        </w:rPr>
        <w:t>Нови моменти</w:t>
      </w:r>
    </w:p>
    <w:p>
      <w:pPr>
        <w:pStyle w:val="Normal"/>
        <w:jc w:val="both"/>
        <w:rPr>
          <w:b/>
          <w:b/>
          <w:bCs/>
        </w:rPr>
      </w:pPr>
      <w:r>
        <w:rPr>
          <w:b/>
          <w:bCs/>
        </w:rPr>
        <w:t>Висшите училища приемат и обучават студенти, без да надхвърлят капацитета си според институционалната акредитация</w:t>
      </w:r>
    </w:p>
    <w:p>
      <w:pPr>
        <w:pStyle w:val="Normal"/>
        <w:jc w:val="both"/>
        <w:rPr/>
      </w:pPr>
      <w:r>
        <w:rPr/>
        <w:t>- свободен капацитет в държавните висши училища – около50 000 (брой ученици, които завършват 12 клас през 2007 г. – около 80 000)</w:t>
      </w:r>
    </w:p>
    <w:p>
      <w:pPr>
        <w:pStyle w:val="Normal"/>
        <w:jc w:val="both"/>
        <w:rPr>
          <w:b/>
          <w:b/>
          <w:bCs/>
        </w:rPr>
      </w:pPr>
      <w:r>
        <w:rPr>
          <w:b/>
          <w:bCs/>
        </w:rPr>
        <w:t>Висшите училища сами определят таксите за обучение при:</w:t>
      </w:r>
    </w:p>
    <w:p>
      <w:pPr>
        <w:pStyle w:val="Normal"/>
        <w:jc w:val="both"/>
        <w:rPr/>
      </w:pPr>
      <w:r>
        <w:rPr/>
        <w:t>- определен от държавата максимален размер</w:t>
      </w:r>
    </w:p>
    <w:p>
      <w:pPr>
        <w:pStyle w:val="Normal"/>
        <w:jc w:val="both"/>
        <w:rPr/>
      </w:pPr>
      <w:r>
        <w:rPr/>
        <w:t>- възможност за диференциация и освобождаване</w:t>
      </w:r>
    </w:p>
    <w:p>
      <w:pPr>
        <w:pStyle w:val="Normal"/>
        <w:jc w:val="both"/>
        <w:rPr/>
      </w:pPr>
      <w:r>
        <w:rPr/>
        <w:t>- задължение за публикуване в определен срок – размер, начин на заплащане, подлежат ли на заплащане, подлежат ли на промяна в хода на следването</w:t>
      </w:r>
    </w:p>
    <w:p>
      <w:pPr>
        <w:pStyle w:val="Normal"/>
        <w:jc w:val="both"/>
        <w:rPr/>
      </w:pPr>
      <w:r>
        <w:rPr/>
        <w:t>- задължение да посочат какви услуги покрива таксата</w:t>
      </w:r>
    </w:p>
    <w:p>
      <w:pPr>
        <w:pStyle w:val="Normal"/>
        <w:jc w:val="both"/>
        <w:rPr>
          <w:b/>
          <w:b/>
          <w:bCs/>
        </w:rPr>
      </w:pPr>
      <w:r>
        <w:rPr>
          <w:b/>
          <w:bCs/>
        </w:rPr>
        <w:t>Основни моменти (2)</w:t>
      </w:r>
    </w:p>
    <w:p>
      <w:pPr>
        <w:pStyle w:val="Normal"/>
        <w:jc w:val="both"/>
        <w:rPr>
          <w:b/>
          <w:b/>
          <w:bCs/>
        </w:rPr>
      </w:pPr>
      <w:r>
        <w:rPr>
          <w:b/>
          <w:bCs/>
        </w:rPr>
        <w:t>Избиране и освобождаване на ректор</w:t>
      </w:r>
    </w:p>
    <w:p>
      <w:pPr>
        <w:pStyle w:val="Normal"/>
        <w:jc w:val="both"/>
        <w:rPr/>
      </w:pPr>
      <w:r>
        <w:rPr/>
        <w:t xml:space="preserve">- Запазване на реда за избиране от общото събрание. </w:t>
      </w:r>
    </w:p>
    <w:p>
      <w:pPr>
        <w:pStyle w:val="Normal"/>
        <w:jc w:val="both"/>
        <w:rPr/>
      </w:pPr>
      <w:r>
        <w:rPr/>
        <w:t>Подписване на договора от министъра на образованието и науката/министър-председателя, който няма право да откаже при законосъобразен избор</w:t>
      </w:r>
    </w:p>
    <w:p>
      <w:pPr>
        <w:pStyle w:val="Normal"/>
        <w:jc w:val="both"/>
        <w:rPr/>
      </w:pPr>
      <w:r>
        <w:rPr/>
        <w:t>- Законова забрана за предсрочно освобождаване на ректора освен при наличие на изрично предвидени в закона основания</w:t>
      </w:r>
    </w:p>
    <w:p>
      <w:pPr>
        <w:pStyle w:val="Normal"/>
        <w:jc w:val="both"/>
        <w:rPr/>
      </w:pPr>
      <w:r>
        <w:rPr/>
        <w:t>- Предвиждане на възможност за повече от два мандата – по предложение на общото събрание и при покриване на критерии за добро управление</w:t>
      </w:r>
    </w:p>
    <w:p>
      <w:pPr>
        <w:pStyle w:val="Normal"/>
        <w:jc w:val="both"/>
        <w:rPr/>
      </w:pPr>
      <w:r>
        <w:rPr/>
        <w:t>-Уреждане на възможност за свикване на общото събрание по инициатива на министъра на образованието и науката при констатиране на системни нарушения на закона.</w:t>
      </w:r>
    </w:p>
    <w:p>
      <w:pPr>
        <w:pStyle w:val="Normal"/>
        <w:jc w:val="both"/>
        <w:rPr>
          <w:b/>
          <w:b/>
          <w:bCs/>
        </w:rPr>
      </w:pPr>
      <w:r>
        <w:rPr>
          <w:b/>
          <w:bCs/>
        </w:rPr>
        <w:t>Основни моменти (3)</w:t>
      </w:r>
    </w:p>
    <w:p>
      <w:pPr>
        <w:pStyle w:val="Normal"/>
        <w:jc w:val="both"/>
        <w:rPr>
          <w:b/>
          <w:b/>
          <w:bCs/>
        </w:rPr>
      </w:pPr>
      <w:r>
        <w:rPr>
          <w:b/>
          <w:bCs/>
        </w:rPr>
        <w:t>Възможност ректорът да назначава помощник-ректор по административните и финансовите въпроси</w:t>
      </w:r>
    </w:p>
    <w:p>
      <w:pPr>
        <w:pStyle w:val="Normal"/>
        <w:jc w:val="both"/>
        <w:rPr/>
      </w:pPr>
      <w:r>
        <w:rPr/>
        <w:t>- може да не бъде от преподавателския състав</w:t>
      </w:r>
    </w:p>
    <w:p>
      <w:pPr>
        <w:pStyle w:val="Normal"/>
        <w:jc w:val="both"/>
        <w:rPr>
          <w:b/>
          <w:b/>
          <w:bCs/>
        </w:rPr>
      </w:pPr>
      <w:r>
        <w:rPr>
          <w:b/>
          <w:bCs/>
        </w:rPr>
        <w:t>Избор на университетски омбудсман</w:t>
      </w:r>
    </w:p>
    <w:p>
      <w:pPr>
        <w:pStyle w:val="Normal"/>
        <w:jc w:val="both"/>
        <w:rPr/>
      </w:pPr>
      <w:r>
        <w:rPr/>
        <w:t>- студент, избран от студентите</w:t>
      </w:r>
    </w:p>
    <w:p>
      <w:pPr>
        <w:pStyle w:val="Normal"/>
        <w:jc w:val="both"/>
        <w:rPr/>
      </w:pPr>
      <w:r>
        <w:rPr/>
        <w:t>- може да сезира органите за управление с жалби и молби на студентите</w:t>
      </w:r>
    </w:p>
    <w:p>
      <w:pPr>
        <w:pStyle w:val="Normal"/>
        <w:jc w:val="both"/>
        <w:rPr/>
      </w:pPr>
      <w:r>
        <w:rPr/>
        <w:t>- член по право на съвета на настоятелите</w:t>
      </w:r>
    </w:p>
    <w:p>
      <w:pPr>
        <w:pStyle w:val="Normal"/>
        <w:jc w:val="both"/>
        <w:rPr/>
      </w:pPr>
      <w:r>
        <w:rPr>
          <w:b/>
          <w:bCs/>
        </w:rPr>
        <w:t>Задължение за публикуване на годишник с финансовите и натуралните показатели на висшето училище</w:t>
      </w:r>
      <w:r>
        <w:rPr/>
        <w:t>.</w:t>
      </w:r>
    </w:p>
    <w:p>
      <w:pPr>
        <w:pStyle w:val="Normal"/>
        <w:jc w:val="both"/>
        <w:rPr>
          <w:b/>
          <w:b/>
          <w:bCs/>
        </w:rPr>
      </w:pPr>
      <w:r>
        <w:rPr>
          <w:b/>
          <w:bCs/>
        </w:rPr>
        <w:t>Оптимален брой институции за висше образование с оптимизирана</w:t>
      </w:r>
    </w:p>
    <w:p>
      <w:pPr>
        <w:pStyle w:val="Normal"/>
        <w:jc w:val="both"/>
        <w:rPr>
          <w:b/>
          <w:b/>
          <w:bCs/>
        </w:rPr>
      </w:pPr>
      <w:r>
        <w:rPr>
          <w:b/>
          <w:bCs/>
        </w:rPr>
        <w:t>структура</w:t>
      </w:r>
    </w:p>
    <w:p>
      <w:pPr>
        <w:pStyle w:val="Normal"/>
        <w:jc w:val="both"/>
        <w:rPr>
          <w:b/>
          <w:b/>
          <w:bCs/>
        </w:rPr>
      </w:pPr>
      <w:r>
        <w:rPr>
          <w:b/>
          <w:bCs/>
        </w:rPr>
        <w:t>Основни моменти (1)</w:t>
      </w:r>
    </w:p>
    <w:p>
      <w:pPr>
        <w:pStyle w:val="Normal"/>
        <w:jc w:val="both"/>
        <w:rPr/>
      </w:pPr>
      <w:r>
        <w:rPr/>
        <w:t>Ограничаване на броя на изнесените структури за сметка на концентрация на ресурсите в основния кампус.</w:t>
      </w:r>
    </w:p>
    <w:p>
      <w:pPr>
        <w:pStyle w:val="Normal"/>
        <w:jc w:val="both"/>
        <w:rPr/>
      </w:pPr>
      <w:r>
        <w:rPr/>
        <w:t>- Финансиране на висшето училище, а не на основни звена и изнесени структури.</w:t>
      </w:r>
    </w:p>
    <w:p>
      <w:pPr>
        <w:pStyle w:val="Normal"/>
        <w:jc w:val="both"/>
        <w:rPr/>
      </w:pPr>
      <w:r>
        <w:rPr/>
        <w:t>-Стимулиране на формите на сдружаване на висши училища – на регионален или друг принцип.</w:t>
      </w:r>
    </w:p>
    <w:p>
      <w:pPr>
        <w:pStyle w:val="Normal"/>
        <w:jc w:val="both"/>
        <w:rPr/>
      </w:pPr>
      <w:r>
        <w:rPr/>
        <w:t>- Изрична забрана за провеждане на обучение извън висшите училища, както и от висшите училища, но извън съответните основни звена и изнесени структури, за които е получена акредитация.</w:t>
      </w:r>
    </w:p>
    <w:p>
      <w:pPr>
        <w:pStyle w:val="Normal"/>
        <w:jc w:val="both"/>
        <w:rPr>
          <w:b/>
          <w:b/>
          <w:bCs/>
        </w:rPr>
      </w:pPr>
      <w:r>
        <w:rPr>
          <w:b/>
          <w:bCs/>
        </w:rPr>
        <w:t>Основни моменти (2)</w:t>
      </w:r>
    </w:p>
    <w:p>
      <w:pPr>
        <w:pStyle w:val="Normal"/>
        <w:jc w:val="both"/>
        <w:rPr/>
      </w:pPr>
      <w:r>
        <w:rPr/>
        <w:t>Възможност на висшите училища сами да определят вътрешната си структура при спазване на определени условия.</w:t>
      </w:r>
    </w:p>
    <w:p>
      <w:pPr>
        <w:pStyle w:val="Normal"/>
        <w:jc w:val="both"/>
        <w:rPr/>
      </w:pPr>
      <w:r>
        <w:rPr/>
        <w:t>Обучение на студенти само от създадени по съответния ред висши училища и основни звена, само в акредитирани професионални направления и в степени, за които е получена акредитация.</w:t>
      </w:r>
    </w:p>
    <w:p>
      <w:pPr>
        <w:pStyle w:val="Normal"/>
        <w:jc w:val="both"/>
        <w:rPr>
          <w:b/>
          <w:b/>
          <w:bCs/>
        </w:rPr>
      </w:pPr>
      <w:r>
        <w:rPr>
          <w:b/>
          <w:bCs/>
        </w:rPr>
        <w:t>По-мотивиран академичен състав Образователната и научна степен“доктор”</w:t>
      </w:r>
    </w:p>
    <w:p>
      <w:pPr>
        <w:pStyle w:val="Normal"/>
        <w:jc w:val="both"/>
        <w:rPr>
          <w:b/>
          <w:b/>
          <w:bCs/>
        </w:rPr>
      </w:pPr>
      <w:r>
        <w:rPr>
          <w:b/>
          <w:bCs/>
        </w:rPr>
        <w:t>Състояние</w:t>
      </w:r>
    </w:p>
    <w:p>
      <w:pPr>
        <w:pStyle w:val="Normal"/>
        <w:jc w:val="both"/>
        <w:rPr/>
      </w:pPr>
      <w:r>
        <w:rPr/>
        <w:t xml:space="preserve">- брой на лицата със степен “доктор” на 1000 души население – ЕС (25 членки) – </w:t>
      </w:r>
      <w:r>
        <w:rPr>
          <w:b/>
          <w:bCs/>
        </w:rPr>
        <w:t>12,2</w:t>
      </w:r>
      <w:r>
        <w:rPr/>
        <w:t xml:space="preserve">; България – </w:t>
      </w:r>
      <w:r>
        <w:rPr>
          <w:b/>
          <w:bCs/>
        </w:rPr>
        <w:t>8,3</w:t>
      </w:r>
    </w:p>
    <w:p>
      <w:pPr>
        <w:pStyle w:val="Normal"/>
        <w:jc w:val="both"/>
        <w:rPr/>
      </w:pPr>
      <w:r>
        <w:rPr/>
        <w:t xml:space="preserve">- брой на лицата със степен “доктор” като % от населението – ЕС (25 членки) – </w:t>
      </w:r>
      <w:r>
        <w:rPr>
          <w:b/>
          <w:bCs/>
        </w:rPr>
        <w:t>1,2%</w:t>
      </w:r>
      <w:r>
        <w:rPr/>
        <w:t xml:space="preserve">; България – </w:t>
      </w:r>
      <w:r>
        <w:rPr>
          <w:b/>
          <w:bCs/>
        </w:rPr>
        <w:t>0,8%</w:t>
      </w:r>
    </w:p>
    <w:p>
      <w:pPr>
        <w:pStyle w:val="Normal"/>
        <w:jc w:val="both"/>
        <w:rPr/>
      </w:pPr>
      <w:r>
        <w:rPr/>
        <w:t xml:space="preserve">-  в България  </w:t>
      </w:r>
      <w:r>
        <w:rPr>
          <w:b/>
          <w:bCs/>
        </w:rPr>
        <w:t xml:space="preserve">под 50 % </w:t>
      </w:r>
      <w:r>
        <w:rPr/>
        <w:t>от приетите докторанти придобиват докторска степен в срок</w:t>
      </w:r>
    </w:p>
    <w:p>
      <w:pPr>
        <w:pStyle w:val="Normal"/>
        <w:jc w:val="both"/>
        <w:rPr>
          <w:b/>
          <w:b/>
          <w:bCs/>
        </w:rPr>
      </w:pPr>
      <w:r>
        <w:rPr>
          <w:b/>
          <w:bCs/>
        </w:rPr>
        <w:t>Предложение</w:t>
      </w:r>
    </w:p>
    <w:p>
      <w:pPr>
        <w:pStyle w:val="Normal"/>
        <w:jc w:val="both"/>
        <w:rPr/>
      </w:pPr>
      <w:r>
        <w:rPr/>
        <w:t>Децентрализация на процедурата за придобиване на образователна и научна степен “доктор” – присъжда се от обучаващата институция</w:t>
      </w:r>
    </w:p>
    <w:p>
      <w:pPr>
        <w:pStyle w:val="Normal"/>
        <w:jc w:val="both"/>
        <w:rPr>
          <w:b/>
          <w:b/>
          <w:bCs/>
        </w:rPr>
      </w:pPr>
      <w:r>
        <w:rPr>
          <w:b/>
          <w:bCs/>
        </w:rPr>
        <w:t>Научните звания и научната степен“доктор на науките”</w:t>
      </w:r>
    </w:p>
    <w:p>
      <w:pPr>
        <w:pStyle w:val="Normal"/>
        <w:jc w:val="both"/>
        <w:rPr>
          <w:b/>
          <w:b/>
          <w:bCs/>
        </w:rPr>
      </w:pPr>
      <w:r>
        <w:rPr>
          <w:b/>
          <w:bCs/>
        </w:rPr>
        <w:t>Нови моменти на процедурата</w:t>
      </w:r>
    </w:p>
    <w:p>
      <w:pPr>
        <w:pStyle w:val="Normal"/>
        <w:jc w:val="both"/>
        <w:rPr/>
      </w:pPr>
      <w:r>
        <w:rPr/>
        <w:t>- Запазване на орган, подобен на президиума на ВАК, който да осъществява административни функции и контрол за законосъобразност.</w:t>
      </w:r>
    </w:p>
    <w:p>
      <w:pPr>
        <w:pStyle w:val="Normal"/>
        <w:jc w:val="both"/>
        <w:rPr/>
      </w:pPr>
      <w:r>
        <w:rPr/>
        <w:t>- Регистър (“листа”) на възможните арбитри – всички хабилитирани лица от същото и от сродни професионални направления</w:t>
      </w:r>
    </w:p>
    <w:p>
      <w:pPr>
        <w:pStyle w:val="Normal"/>
        <w:jc w:val="both"/>
        <w:rPr/>
      </w:pPr>
      <w:r>
        <w:rPr/>
        <w:t>- Присъждане на званието/степента от решаващо жури ad hoc -7/9 члена, определяни на случаен принцип</w:t>
      </w:r>
    </w:p>
    <w:p>
      <w:pPr>
        <w:pStyle w:val="Normal"/>
        <w:jc w:val="both"/>
        <w:rPr/>
      </w:pPr>
      <w:r>
        <w:rPr/>
        <w:t>- Явно гласуване, мотивиране на позицията</w:t>
      </w:r>
    </w:p>
    <w:p>
      <w:pPr>
        <w:pStyle w:val="Normal"/>
        <w:jc w:val="both"/>
        <w:rPr/>
      </w:pPr>
      <w:r>
        <w:rPr/>
        <w:t>- Предварително публикуване на рецензиите в интернет</w:t>
      </w:r>
    </w:p>
    <w:p>
      <w:pPr>
        <w:pStyle w:val="Normal"/>
        <w:jc w:val="both"/>
        <w:rPr>
          <w:b/>
          <w:b/>
          <w:bCs/>
        </w:rPr>
      </w:pPr>
      <w:r>
        <w:rPr>
          <w:b/>
          <w:bCs/>
        </w:rPr>
        <w:t>Публичен регистър на лицата, притежаващи научни звания и научни степени</w:t>
      </w:r>
    </w:p>
    <w:p>
      <w:pPr>
        <w:pStyle w:val="Normal"/>
        <w:jc w:val="both"/>
        <w:rPr>
          <w:b/>
          <w:b/>
          <w:bCs/>
        </w:rPr>
      </w:pPr>
      <w:r>
        <w:rPr>
          <w:b/>
          <w:bCs/>
        </w:rPr>
        <w:t>Надеждни системи за оценка на качеството</w:t>
      </w:r>
    </w:p>
    <w:p>
      <w:pPr>
        <w:pStyle w:val="Normal"/>
        <w:jc w:val="both"/>
        <w:rPr>
          <w:b/>
          <w:b/>
          <w:bCs/>
        </w:rPr>
      </w:pPr>
      <w:r>
        <w:rPr>
          <w:b/>
          <w:bCs/>
        </w:rPr>
        <w:t>Оценка на качеството</w:t>
      </w:r>
    </w:p>
    <w:p>
      <w:pPr>
        <w:pStyle w:val="Normal"/>
        <w:jc w:val="both"/>
        <w:rPr>
          <w:b/>
          <w:b/>
          <w:bCs/>
        </w:rPr>
      </w:pPr>
      <w:r>
        <w:rPr>
          <w:b/>
          <w:bCs/>
        </w:rPr>
        <w:t>Външна оценка</w:t>
      </w:r>
    </w:p>
    <w:p>
      <w:pPr>
        <w:pStyle w:val="Normal"/>
        <w:jc w:val="both"/>
        <w:rPr/>
      </w:pPr>
      <w:r>
        <w:rPr/>
        <w:t>- институционализирана – НАОА, МОН</w:t>
      </w:r>
    </w:p>
    <w:p>
      <w:pPr>
        <w:pStyle w:val="Normal"/>
        <w:jc w:val="both"/>
        <w:rPr/>
      </w:pPr>
      <w:r>
        <w:rPr/>
        <w:t>- неинституционализирана (косвен контрол) – от потребителите</w:t>
      </w:r>
    </w:p>
    <w:p>
      <w:pPr>
        <w:pStyle w:val="Normal"/>
        <w:jc w:val="both"/>
        <w:rPr/>
      </w:pPr>
      <w:r>
        <w:rPr/>
        <w:t>на образователната услуга, работодателите, чрез изграждането</w:t>
      </w:r>
    </w:p>
    <w:p>
      <w:pPr>
        <w:pStyle w:val="Normal"/>
        <w:jc w:val="both"/>
        <w:rPr/>
      </w:pPr>
      <w:r>
        <w:rPr/>
        <w:t>на рейтинг-скали на висшите училища</w:t>
      </w:r>
    </w:p>
    <w:p>
      <w:pPr>
        <w:pStyle w:val="Normal"/>
        <w:jc w:val="both"/>
        <w:rPr>
          <w:b/>
          <w:b/>
          <w:bCs/>
        </w:rPr>
      </w:pPr>
      <w:r>
        <w:rPr>
          <w:b/>
          <w:bCs/>
        </w:rPr>
        <w:t>Вътрешна оценка</w:t>
      </w:r>
    </w:p>
    <w:p>
      <w:pPr>
        <w:pStyle w:val="Normal"/>
        <w:jc w:val="both"/>
        <w:rPr/>
      </w:pPr>
      <w:r>
        <w:rPr/>
        <w:t>- чрез вътрешните системи за оценяване и поддържане на качеството на обучението и академичния състав</w:t>
      </w:r>
    </w:p>
    <w:p>
      <w:pPr>
        <w:pStyle w:val="Normal"/>
        <w:jc w:val="both"/>
        <w:rPr>
          <w:b/>
          <w:b/>
          <w:bCs/>
        </w:rPr>
      </w:pPr>
      <w:r>
        <w:rPr>
          <w:b/>
          <w:bCs/>
        </w:rPr>
        <w:t>Оценка на качеството от НАОА. Засилване на капацитета</w:t>
      </w:r>
    </w:p>
    <w:p>
      <w:pPr>
        <w:pStyle w:val="Normal"/>
        <w:jc w:val="both"/>
        <w:rPr/>
      </w:pPr>
      <w:r>
        <w:rPr/>
        <w:t>- Разширяване на състава – участие на международни експерти, външни лица, студенти</w:t>
      </w:r>
    </w:p>
    <w:p>
      <w:pPr>
        <w:pStyle w:val="Normal"/>
        <w:jc w:val="both"/>
        <w:rPr/>
      </w:pPr>
      <w:r>
        <w:rPr/>
        <w:t>- Засилване на тежестта на критериите за качество за сметка на формалните критерии при акредитацията</w:t>
      </w:r>
    </w:p>
    <w:p>
      <w:pPr>
        <w:pStyle w:val="Normal"/>
        <w:jc w:val="both"/>
        <w:rPr/>
      </w:pPr>
      <w:r>
        <w:rPr/>
        <w:t>- Осъществяване на ефективен следакредитационен контрол относно: спазване на условията на акредитацията; изпълнение на предписанията, дадени при акредитацията; функциониране на вътрешните системи за оценка на качеството Предвиждане на възможност за инцидентен контрол.</w:t>
      </w:r>
    </w:p>
    <w:p>
      <w:pPr>
        <w:pStyle w:val="Normal"/>
        <w:jc w:val="both"/>
        <w:rPr>
          <w:b/>
          <w:b/>
          <w:bCs/>
        </w:rPr>
      </w:pPr>
      <w:r>
        <w:rPr>
          <w:b/>
          <w:bCs/>
        </w:rPr>
        <w:t>Развитие на диференцирана система от санкции. Оценка на качеството от МОН</w:t>
      </w:r>
    </w:p>
    <w:p>
      <w:pPr>
        <w:pStyle w:val="Normal"/>
        <w:jc w:val="both"/>
        <w:rPr/>
      </w:pPr>
      <w:r>
        <w:rPr/>
        <w:t>Косвен контрол чрез следене на формални параметри – процедури, брой, съотношения</w:t>
      </w:r>
    </w:p>
    <w:p>
      <w:pPr>
        <w:pStyle w:val="Normal"/>
        <w:jc w:val="both"/>
        <w:rPr/>
      </w:pPr>
      <w:r>
        <w:rPr/>
        <w:t>Има значение при определяне на субсидията на висшите училища.</w:t>
      </w:r>
    </w:p>
    <w:p>
      <w:pPr>
        <w:pStyle w:val="Normal"/>
        <w:jc w:val="both"/>
        <w:rPr>
          <w:b/>
          <w:b/>
          <w:bCs/>
        </w:rPr>
      </w:pPr>
      <w:r>
        <w:rPr>
          <w:b/>
          <w:bCs/>
        </w:rPr>
        <w:t>Възможни критерии:</w:t>
      </w:r>
    </w:p>
    <w:p>
      <w:pPr>
        <w:pStyle w:val="Normal"/>
        <w:jc w:val="both"/>
        <w:rPr/>
      </w:pPr>
      <w:r>
        <w:rPr/>
        <w:t>- реализация на студентите</w:t>
      </w:r>
    </w:p>
    <w:p>
      <w:pPr>
        <w:pStyle w:val="Normal"/>
        <w:jc w:val="both"/>
        <w:rPr/>
      </w:pPr>
      <w:r>
        <w:rPr/>
        <w:t>- оценка от акредитацията</w:t>
      </w:r>
    </w:p>
    <w:p>
      <w:pPr>
        <w:pStyle w:val="Normal"/>
        <w:jc w:val="both"/>
        <w:rPr/>
      </w:pPr>
      <w:r>
        <w:rPr/>
        <w:t>- реализиран прием и капацитет на висшите училища</w:t>
      </w:r>
    </w:p>
    <w:p>
      <w:pPr>
        <w:pStyle w:val="Normal"/>
        <w:jc w:val="both"/>
        <w:rPr/>
      </w:pPr>
      <w:r>
        <w:rPr/>
        <w:t>- съотношение преподаватели/студенти</w:t>
      </w:r>
    </w:p>
    <w:p>
      <w:pPr>
        <w:pStyle w:val="Normal"/>
        <w:jc w:val="both"/>
        <w:rPr/>
      </w:pPr>
      <w:r>
        <w:rPr/>
        <w:t>- брой докторанти и брой присъдени степени</w:t>
      </w:r>
    </w:p>
    <w:p>
      <w:pPr>
        <w:pStyle w:val="Normal"/>
        <w:jc w:val="both"/>
        <w:rPr/>
      </w:pPr>
      <w:r>
        <w:rPr/>
        <w:t>- научни публикации и участие в научни проекти</w:t>
      </w:r>
    </w:p>
    <w:p>
      <w:pPr>
        <w:pStyle w:val="Normal"/>
        <w:jc w:val="both"/>
        <w:rPr/>
      </w:pPr>
      <w:r>
        <w:rPr/>
        <w:t>- наличие на програми и курсове, преподавани на чужд език</w:t>
      </w:r>
    </w:p>
    <w:p>
      <w:pPr>
        <w:pStyle w:val="Normal"/>
        <w:jc w:val="both"/>
        <w:rPr/>
      </w:pPr>
      <w:r>
        <w:rPr/>
        <w:t>- спазване на закона и условията на акредитацията</w:t>
      </w:r>
    </w:p>
    <w:p>
      <w:pPr>
        <w:pStyle w:val="Normal"/>
        <w:jc w:val="both"/>
        <w:rPr>
          <w:b/>
          <w:b/>
          <w:bCs/>
        </w:rPr>
      </w:pPr>
      <w:r>
        <w:rPr>
          <w:b/>
          <w:bCs/>
        </w:rPr>
        <w:t>Вътрешна оценка на качеството</w:t>
      </w:r>
    </w:p>
    <w:p>
      <w:pPr>
        <w:pStyle w:val="Normal"/>
        <w:jc w:val="both"/>
        <w:rPr/>
      </w:pPr>
      <w:r>
        <w:rPr/>
        <w:t>Утвърждаване на писмената форма на изпитване.</w:t>
      </w:r>
    </w:p>
    <w:p>
      <w:pPr>
        <w:pStyle w:val="Normal"/>
        <w:jc w:val="both"/>
        <w:rPr/>
      </w:pPr>
      <w:r>
        <w:rPr/>
        <w:t>Периодичност на проучването на студентското мнение.</w:t>
      </w:r>
    </w:p>
    <w:p>
      <w:pPr>
        <w:pStyle w:val="Normal"/>
        <w:jc w:val="both"/>
        <w:rPr/>
      </w:pPr>
      <w:r>
        <w:rPr/>
        <w:t>Задължение на преподавателите да разработят и да оповестят описание на курса – теми, брой часове, препоръчителна литература, начин на формиране на оценката, вид на изпита и т. н.</w:t>
      </w:r>
    </w:p>
    <w:p>
      <w:pPr>
        <w:pStyle w:val="Normal"/>
        <w:jc w:val="both"/>
        <w:rPr>
          <w:b/>
          <w:b/>
          <w:bCs/>
        </w:rPr>
      </w:pPr>
      <w:r>
        <w:rPr>
          <w:b/>
          <w:bCs/>
        </w:rPr>
        <w:t>Висшите училища – основни. Състояние. Общи разходи за научни изследвания</w:t>
      </w:r>
    </w:p>
    <w:p>
      <w:pPr>
        <w:pStyle w:val="Normal"/>
        <w:jc w:val="both"/>
        <w:rPr/>
      </w:pPr>
      <w:r>
        <w:rPr/>
        <w:t xml:space="preserve">ЕС (25 членки) – </w:t>
      </w:r>
      <w:r>
        <w:rPr>
          <w:b/>
          <w:bCs/>
        </w:rPr>
        <w:t>1,85%</w:t>
      </w:r>
      <w:r>
        <w:rPr/>
        <w:t xml:space="preserve">, САЩ – </w:t>
      </w:r>
      <w:r>
        <w:rPr>
          <w:b/>
          <w:bCs/>
        </w:rPr>
        <w:t xml:space="preserve">2,7%, </w:t>
      </w:r>
      <w:r>
        <w:rPr/>
        <w:t xml:space="preserve">Япония – </w:t>
      </w:r>
      <w:r>
        <w:rPr>
          <w:b/>
          <w:bCs/>
        </w:rPr>
        <w:t>3%,</w:t>
      </w:r>
      <w:r>
        <w:rPr/>
        <w:t xml:space="preserve"> България – </w:t>
      </w:r>
      <w:r>
        <w:rPr>
          <w:b/>
          <w:bCs/>
        </w:rPr>
        <w:t xml:space="preserve">0,5 % </w:t>
      </w:r>
      <w:r>
        <w:rPr/>
        <w:t>от БВП, от които 0.4 % – бюджетно финансиране</w:t>
      </w:r>
    </w:p>
    <w:p>
      <w:pPr>
        <w:pStyle w:val="Normal"/>
        <w:jc w:val="both"/>
        <w:rPr>
          <w:b/>
          <w:b/>
          <w:bCs/>
        </w:rPr>
      </w:pPr>
      <w:r>
        <w:rPr>
          <w:b/>
          <w:bCs/>
        </w:rPr>
        <w:t>Дял на финансирането от извънбюджетни източници в общите разходи</w:t>
      </w:r>
    </w:p>
    <w:p>
      <w:pPr>
        <w:pStyle w:val="Normal"/>
        <w:jc w:val="both"/>
        <w:rPr/>
      </w:pPr>
      <w:r>
        <w:rPr/>
        <w:t xml:space="preserve">ЕС (25 членки) – </w:t>
      </w:r>
      <w:r>
        <w:rPr>
          <w:b/>
          <w:bCs/>
        </w:rPr>
        <w:t xml:space="preserve">1,17%, </w:t>
      </w:r>
      <w:r>
        <w:rPr>
          <w:bCs/>
        </w:rPr>
        <w:t>България</w:t>
      </w:r>
      <w:r>
        <w:rPr>
          <w:b/>
          <w:bCs/>
        </w:rPr>
        <w:t xml:space="preserve"> – 0,1%</w:t>
      </w:r>
    </w:p>
    <w:p>
      <w:pPr>
        <w:pStyle w:val="Normal"/>
        <w:jc w:val="both"/>
        <w:rPr>
          <w:color w:val="000065"/>
        </w:rPr>
      </w:pPr>
      <w:r>
        <w:rPr>
          <w:b/>
          <w:bCs/>
        </w:rPr>
        <w:t>Съотношение институционално – програмно финансиране у нас</w:t>
      </w:r>
      <w:r>
        <w:rPr>
          <w:b/>
          <w:bCs/>
          <w:color w:val="000065"/>
        </w:rPr>
        <w:t xml:space="preserve"> </w:t>
      </w:r>
      <w:r>
        <w:rPr>
          <w:b/>
          <w:bCs/>
          <w:color w:val="000000"/>
        </w:rPr>
        <w:t xml:space="preserve">– </w:t>
      </w:r>
      <w:r>
        <w:rPr>
          <w:bCs/>
          <w:color w:val="000000"/>
        </w:rPr>
        <w:t>около</w:t>
      </w:r>
      <w:r>
        <w:rPr>
          <w:b/>
          <w:bCs/>
          <w:color w:val="000000"/>
        </w:rPr>
        <w:t xml:space="preserve"> 75% : 25%</w:t>
      </w:r>
    </w:p>
    <w:p>
      <w:pPr>
        <w:pStyle w:val="Normal"/>
        <w:jc w:val="both"/>
        <w:rPr/>
      </w:pPr>
      <w:r>
        <w:rPr>
          <w:b/>
          <w:bCs/>
        </w:rPr>
        <w:t>Научни центрове. Размер на средствата за научни</w:t>
      </w:r>
      <w:r>
        <w:rPr>
          <w:b/>
          <w:bCs/>
          <w:color w:val="000065"/>
        </w:rPr>
        <w:t xml:space="preserve"> </w:t>
      </w:r>
      <w:r>
        <w:rPr>
          <w:b/>
          <w:bCs/>
        </w:rPr>
        <w:t>изследвания за висшите</w:t>
      </w:r>
    </w:p>
    <w:p>
      <w:pPr>
        <w:pStyle w:val="Normal"/>
        <w:jc w:val="both"/>
        <w:rPr>
          <w:b/>
          <w:b/>
          <w:bCs/>
        </w:rPr>
      </w:pPr>
      <w:r>
        <w:rPr>
          <w:b/>
          <w:bCs/>
        </w:rPr>
        <w:t>училища.</w:t>
      </w:r>
    </w:p>
    <w:p>
      <w:pPr>
        <w:pStyle w:val="Normal"/>
        <w:jc w:val="both"/>
        <w:rPr/>
      </w:pPr>
      <w:r>
        <w:rPr/>
        <w:t xml:space="preserve">ЕС (25 членки) </w:t>
      </w:r>
      <w:r>
        <w:rPr>
          <w:b/>
          <w:bCs/>
        </w:rPr>
        <w:t xml:space="preserve">– 2/3 </w:t>
      </w:r>
      <w:r>
        <w:rPr/>
        <w:t xml:space="preserve">от общите разходи, България – </w:t>
      </w:r>
      <w:r>
        <w:rPr>
          <w:b/>
          <w:bCs/>
        </w:rPr>
        <w:t>1/6</w:t>
      </w:r>
    </w:p>
    <w:p>
      <w:pPr>
        <w:pStyle w:val="Normal"/>
        <w:jc w:val="both"/>
        <w:rPr>
          <w:b/>
          <w:b/>
          <w:bCs/>
        </w:rPr>
      </w:pPr>
      <w:r>
        <w:rPr>
          <w:b/>
          <w:bCs/>
        </w:rPr>
        <w:t>Основни моменти</w:t>
      </w:r>
    </w:p>
    <w:p>
      <w:pPr>
        <w:pStyle w:val="Normal"/>
        <w:jc w:val="both"/>
        <w:rPr>
          <w:b/>
          <w:b/>
          <w:bCs/>
        </w:rPr>
      </w:pPr>
      <w:r>
        <w:rPr>
          <w:b/>
          <w:bCs/>
        </w:rPr>
        <w:t>Увеличаване на разходите за  научни изследвания. Утвърждаване на проектното финансиране.</w:t>
      </w:r>
    </w:p>
    <w:p>
      <w:pPr>
        <w:pStyle w:val="Normal"/>
        <w:jc w:val="both"/>
        <w:rPr/>
      </w:pPr>
      <w:r>
        <w:rPr/>
        <w:t>- държавна подкрепа за участие в големи международни проекти</w:t>
      </w:r>
    </w:p>
    <w:p>
      <w:pPr>
        <w:pStyle w:val="Normal"/>
        <w:jc w:val="both"/>
        <w:rPr/>
      </w:pPr>
      <w:r>
        <w:rPr/>
        <w:t>- акцент върху изграждането на научна инфраструктура</w:t>
      </w:r>
    </w:p>
    <w:p>
      <w:pPr>
        <w:pStyle w:val="Normal"/>
        <w:jc w:val="both"/>
        <w:rPr/>
      </w:pPr>
      <w:r>
        <w:rPr/>
        <w:t>- насърчаване на участието на учени от различни институции в съвместни проекти</w:t>
      </w:r>
    </w:p>
    <w:p>
      <w:pPr>
        <w:pStyle w:val="Normal"/>
        <w:jc w:val="both"/>
        <w:rPr>
          <w:b/>
          <w:b/>
          <w:bCs/>
        </w:rPr>
      </w:pPr>
      <w:r>
        <w:rPr>
          <w:b/>
          <w:bCs/>
        </w:rPr>
        <w:t>Концентрация на ресурс в приоритетни за държавата научни направления</w:t>
      </w:r>
    </w:p>
    <w:p>
      <w:pPr>
        <w:pStyle w:val="Normal"/>
        <w:jc w:val="both"/>
        <w:rPr>
          <w:b/>
          <w:b/>
          <w:bCs/>
        </w:rPr>
      </w:pPr>
      <w:r>
        <w:rPr>
          <w:b/>
          <w:bCs/>
        </w:rPr>
        <w:t>По-добри условия за мобилност .Основни моменти.</w:t>
      </w:r>
    </w:p>
    <w:p>
      <w:pPr>
        <w:pStyle w:val="Normal"/>
        <w:jc w:val="both"/>
        <w:rPr/>
      </w:pPr>
      <w:r>
        <w:rPr/>
        <w:t>Засилване на чуждоезиковото обучение</w:t>
      </w:r>
    </w:p>
    <w:p>
      <w:pPr>
        <w:pStyle w:val="Normal"/>
        <w:jc w:val="both"/>
        <w:rPr/>
      </w:pPr>
      <w:r>
        <w:rPr/>
        <w:t>Въвеждане на програми и курсове, преподавани на чужд език</w:t>
      </w:r>
    </w:p>
    <w:p>
      <w:pPr>
        <w:pStyle w:val="Normal"/>
        <w:jc w:val="both"/>
        <w:rPr/>
      </w:pPr>
      <w:r>
        <w:rPr/>
        <w:t>Ефективно прилагане на системата за натрупване и трансфер на кредити</w:t>
      </w:r>
    </w:p>
    <w:p>
      <w:pPr>
        <w:pStyle w:val="Normal"/>
        <w:jc w:val="both"/>
        <w:rPr/>
      </w:pPr>
      <w:r>
        <w:rPr/>
        <w:t>По-тясно профилиране, елементи на научно търсене и по- голяма практическа насоченост в магистърските програми</w:t>
      </w:r>
    </w:p>
    <w:p>
      <w:pPr>
        <w:pStyle w:val="Normal"/>
        <w:jc w:val="both"/>
        <w:rPr/>
      </w:pPr>
      <w:r>
        <w:rPr/>
        <w:t>Предвиждане на възможност за 3-годишно бакалавърско обучение</w:t>
      </w:r>
    </w:p>
    <w:p>
      <w:pPr>
        <w:pStyle w:val="Normal"/>
        <w:jc w:val="both"/>
        <w:rPr/>
      </w:pPr>
      <w:r>
        <w:rPr/>
        <w:t>Бъдещето на образователно-квалификационната степен“специалист по”</w:t>
      </w:r>
    </w:p>
    <w:p>
      <w:pPr>
        <w:pStyle w:val="Normal"/>
        <w:jc w:val="both"/>
        <w:rPr/>
      </w:pPr>
      <w:r>
        <w:rPr/>
      </w:r>
    </w:p>
    <w:p>
      <w:pPr>
        <w:pStyle w:val="Normal"/>
        <w:jc w:val="both"/>
        <w:rPr/>
      </w:pPr>
      <w:r>
        <w:rPr/>
      </w:r>
    </w:p>
    <w:p>
      <w:pPr>
        <w:pStyle w:val="Normal"/>
        <w:jc w:val="both"/>
        <w:rPr>
          <w:color w:val="330065"/>
        </w:rPr>
      </w:pPr>
      <w:r>
        <w:rPr>
          <w:color w:val="330065"/>
        </w:rPr>
      </w:r>
    </w:p>
    <w:p>
      <w:pPr>
        <w:pStyle w:val="Normal"/>
        <w:jc w:val="both"/>
        <w:rPr>
          <w:color w:val="330065"/>
        </w:rPr>
      </w:pPr>
      <w:r>
        <w:rPr>
          <w:color w:val="330065"/>
        </w:rPr>
      </w:r>
    </w:p>
    <w:p>
      <w:pPr>
        <w:pStyle w:val="Normal"/>
        <w:ind w:left="357" w:firstLine="709"/>
        <w:jc w:val="both"/>
        <w:rPr/>
      </w:pPr>
      <w:r>
        <w:rPr/>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9">
              <wp:simplePos x="0" y="0"/>
              <wp:positionH relativeFrom="margin">
                <wp:align>right</wp:align>
              </wp:positionH>
              <wp:positionV relativeFrom="paragraph">
                <wp:posOffset>635</wp:posOffset>
              </wp:positionV>
              <wp:extent cx="768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8</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447.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8</w:t>
                    </w:r>
                    <w:r>
                      <w:rPr>
                        <w:rStyle w:val="PageNumber"/>
                      </w:rPr>
                      <w:fldChar w:fldCharType="end"/>
                    </w:r>
                  </w:p>
                </w:txbxContent>
              </v:textbox>
              <w10:wrap type="square" side="largest"/>
            </v:rect>
          </w:pict>
        </mc:Fallback>
      </mc:AlternateContent>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Normal.dot_x0000_</Template>
  <TotalTime>4</TotalTime>
  <Application>LibreOffice/7.0.3.1$Linux_X86_64 LibreOffice_project/00$Build-1</Application>
  <Pages>8</Pages>
  <Words>2786</Words>
  <Characters>16252</Characters>
  <CharactersWithSpaces>18928</CharactersWithSpaces>
  <Paragraphs>203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2008-11-03T09:14:00Z</dcterms:created>
  <dc:creator>user</dc:creator>
  <dc:description/>
  <cp:keywords> </cp:keywords>
  <dc:language>en-US</dc:language>
  <cp:lastModifiedBy>Detski_otdel_2</cp:lastModifiedBy>
  <cp:lastPrinted>2008-11-03T09:12:00Z</cp:lastPrinted>
  <dcterms:modified xsi:type="dcterms:W3CDTF">2009-01-29T10:29:00Z</dcterms:modified>
  <cp:revision>5</cp:revision>
  <dc:subject/>
  <dc:title>Румяна Божинова  Вълковска</dc:title>
</cp:coreProperties>
</file>